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02F" w:rsidRPr="00F80391" w:rsidRDefault="008927A7" w:rsidP="00AB691D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F80391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ТЕХНИЧЕСКА </w:t>
      </w:r>
      <w:r w:rsidR="004B4980" w:rsidRPr="00F80391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СПЕЦ</w:t>
      </w:r>
      <w:r w:rsidR="006F22F3" w:rsidRPr="00F80391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</w:t>
      </w:r>
      <w:r w:rsidR="004B4980" w:rsidRPr="00F80391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ИФИКАЦИЯ</w:t>
      </w:r>
    </w:p>
    <w:p w:rsidR="008927A7" w:rsidRPr="00F80391" w:rsidRDefault="008927A7" w:rsidP="00F02D2E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8927A7" w:rsidRPr="00F80391" w:rsidRDefault="008927A7" w:rsidP="00F02D2E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Настоящата техническа </w:t>
      </w:r>
      <w:r w:rsidR="004B4980" w:rsidRPr="00F80391">
        <w:rPr>
          <w:rFonts w:ascii="Times New Roman" w:hAnsi="Times New Roman" w:cs="Times New Roman"/>
          <w:sz w:val="24"/>
          <w:szCs w:val="24"/>
          <w:lang w:val="bg-BG"/>
        </w:rPr>
        <w:t>спецификация</w:t>
      </w:r>
      <w:r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 е изготвена във връзка с провеждане на  ПУБЛИЧНА ПОКАНА по Глава осма „а”, ЗОП за възлагане на обществена поръчка по чл. 14, ал.4, т.2 от ЗОП, чрез публична покана по чл.101а и сл. от ЗОП с предмет: </w:t>
      </w:r>
      <w:r w:rsidR="001221CA" w:rsidRPr="00F80391">
        <w:rPr>
          <w:rFonts w:ascii="Times New Roman" w:hAnsi="Times New Roman" w:cs="Times New Roman"/>
          <w:b/>
          <w:sz w:val="24"/>
          <w:szCs w:val="24"/>
          <w:lang w:val="bg-BG"/>
        </w:rPr>
        <w:t>„</w:t>
      </w:r>
      <w:r w:rsidR="00417C7C" w:rsidRPr="00F80391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Изготвяне на  </w:t>
      </w:r>
      <w:r w:rsidR="006C1A96" w:rsidRPr="00F80391">
        <w:rPr>
          <w:rFonts w:ascii="Times New Roman" w:hAnsi="Times New Roman" w:cs="Times New Roman"/>
          <w:b/>
          <w:sz w:val="24"/>
          <w:szCs w:val="24"/>
          <w:lang w:val="bg-BG"/>
        </w:rPr>
        <w:t>Предпроектно проучване</w:t>
      </w:r>
      <w:r w:rsidR="00417C7C" w:rsidRPr="00F80391">
        <w:rPr>
          <w:rFonts w:ascii="Times New Roman" w:hAnsi="Times New Roman" w:cs="Times New Roman"/>
          <w:b/>
          <w:sz w:val="24"/>
          <w:szCs w:val="24"/>
          <w:lang w:val="bg-BG"/>
        </w:rPr>
        <w:t xml:space="preserve">, </w:t>
      </w:r>
      <w:r w:rsidRPr="00F80391">
        <w:rPr>
          <w:rFonts w:ascii="Times New Roman" w:hAnsi="Times New Roman" w:cs="Times New Roman"/>
          <w:b/>
          <w:sz w:val="24"/>
          <w:szCs w:val="24"/>
          <w:lang w:val="bg-BG"/>
        </w:rPr>
        <w:t xml:space="preserve">Анализ </w:t>
      </w:r>
      <w:r w:rsidR="00417C7C" w:rsidRPr="00F80391">
        <w:rPr>
          <w:rFonts w:ascii="Times New Roman" w:hAnsi="Times New Roman" w:cs="Times New Roman"/>
          <w:b/>
          <w:sz w:val="24"/>
          <w:szCs w:val="24"/>
          <w:lang w:val="bg-BG"/>
        </w:rPr>
        <w:t>„</w:t>
      </w:r>
      <w:r w:rsidRPr="00F80391">
        <w:rPr>
          <w:rFonts w:ascii="Times New Roman" w:hAnsi="Times New Roman" w:cs="Times New Roman"/>
          <w:b/>
          <w:sz w:val="24"/>
          <w:szCs w:val="24"/>
          <w:lang w:val="bg-BG"/>
        </w:rPr>
        <w:t>Разходи-Ползи</w:t>
      </w:r>
      <w:r w:rsidR="00417C7C" w:rsidRPr="00F80391">
        <w:rPr>
          <w:rFonts w:ascii="Times New Roman" w:hAnsi="Times New Roman" w:cs="Times New Roman"/>
          <w:b/>
          <w:sz w:val="24"/>
          <w:szCs w:val="24"/>
          <w:lang w:val="bg-BG"/>
        </w:rPr>
        <w:t>“</w:t>
      </w:r>
      <w:r w:rsidR="00090738" w:rsidRPr="00F803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90738" w:rsidRPr="00F80391">
        <w:rPr>
          <w:rFonts w:ascii="Times New Roman" w:hAnsi="Times New Roman" w:cs="Times New Roman"/>
          <w:b/>
          <w:sz w:val="24"/>
          <w:szCs w:val="24"/>
          <w:lang w:val="bg-BG"/>
        </w:rPr>
        <w:t>и финансов анализ</w:t>
      </w:r>
      <w:r w:rsidR="004A4E29" w:rsidRPr="00F803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17C7C" w:rsidRPr="00F80391">
        <w:rPr>
          <w:rFonts w:ascii="Times New Roman" w:hAnsi="Times New Roman" w:cs="Times New Roman"/>
          <w:b/>
          <w:sz w:val="24"/>
          <w:szCs w:val="24"/>
          <w:lang w:val="bg-BG"/>
        </w:rPr>
        <w:t>във връзка с</w:t>
      </w:r>
      <w:r w:rsidRPr="00F8039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кандидатстване на </w:t>
      </w:r>
      <w:r w:rsidR="00417C7C" w:rsidRPr="00F80391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Община Плевен с проект: „Интегриран градски транспорт на Плевен – фаза 2“ </w:t>
      </w:r>
      <w:r w:rsidRPr="00F80391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 </w:t>
      </w:r>
      <w:r w:rsidR="00417C7C" w:rsidRPr="00F80391">
        <w:rPr>
          <w:rFonts w:ascii="Times New Roman" w:hAnsi="Times New Roman" w:cs="Times New Roman"/>
          <w:b/>
          <w:sz w:val="24"/>
          <w:szCs w:val="24"/>
          <w:lang w:val="bg-BG"/>
        </w:rPr>
        <w:t>Оперативна Програма „Региони в Растеж“ 2014-2020 г., приоритетна ос 1 „Устойчиво и интегрирано градско развитие“, Процедура: BG16RFOP001-1.001-039 ”Изпълнение на интегрирани планове за градско възстановяване и развитие 2014-2020”</w:t>
      </w:r>
      <w:r w:rsidRPr="00F80391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930845"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930845" w:rsidRPr="00F80391" w:rsidRDefault="009608B5" w:rsidP="00F02D2E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F80391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Описание и цел на дейностите по поръчката:</w:t>
      </w:r>
    </w:p>
    <w:p w:rsidR="005030D9" w:rsidRPr="00F80391" w:rsidRDefault="009608B5" w:rsidP="00156A2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Настоящата обществена поръчка цели да бъде избран Изпълнител, който да извърши в пълен обем дейностите по </w:t>
      </w:r>
      <w:r w:rsidR="00F02D2E"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„Изготвяне на Предпроектно проучване, Анализ „Разходи-Ползи“ </w:t>
      </w:r>
      <w:r w:rsidR="00090738"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и Финансов анализ </w:t>
      </w:r>
      <w:r w:rsidR="00F02D2E" w:rsidRPr="00F80391">
        <w:rPr>
          <w:rFonts w:ascii="Times New Roman" w:hAnsi="Times New Roman" w:cs="Times New Roman"/>
          <w:sz w:val="24"/>
          <w:szCs w:val="24"/>
          <w:lang w:val="bg-BG"/>
        </w:rPr>
        <w:t>във връзка с кандидатстване на Община Плевен с проект: „Интегриран градски транспорт на Плевен – фаза 2“ по Оперативна Програма „Региони в Растеж“ 2014-2020 г., приоритетна ос 1 „Устойчиво и интегрирано градско развитие“, Процедура: BG16RFOP001-1.001-039 ”Изпълнение на интегрирани планове за градско възстановяване и развитие 2014-2020”</w:t>
      </w:r>
      <w:r w:rsidR="005030D9" w:rsidRPr="00F8039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05000" w:rsidRPr="00F80391" w:rsidRDefault="00A05000" w:rsidP="00156A2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80391">
        <w:rPr>
          <w:rFonts w:ascii="Times New Roman" w:hAnsi="Times New Roman" w:cs="Times New Roman"/>
          <w:sz w:val="24"/>
          <w:szCs w:val="24"/>
          <w:lang w:val="bg-BG"/>
        </w:rPr>
        <w:t>Индикативна стойност на проект „Интегриран градски транспорт на Плевен – фаза 2“</w:t>
      </w:r>
      <w:r w:rsidR="00090738" w:rsidRPr="00F8039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90738" w:rsidRPr="00F80391">
        <w:rPr>
          <w:rFonts w:ascii="Times New Roman" w:hAnsi="Times New Roman" w:cs="Times New Roman"/>
          <w:sz w:val="24"/>
          <w:szCs w:val="24"/>
          <w:lang w:val="bg-BG"/>
        </w:rPr>
        <w:t>включен в Инвестиционната програма на общината</w:t>
      </w:r>
      <w:r w:rsidR="00090738" w:rsidRPr="00F8039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262A7" w:rsidRPr="00F80391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262A7" w:rsidRPr="00F80391">
        <w:rPr>
          <w:rFonts w:ascii="Times New Roman" w:hAnsi="Times New Roman" w:cs="Times New Roman"/>
          <w:b/>
          <w:sz w:val="24"/>
          <w:szCs w:val="24"/>
          <w:lang w:val="bg-BG"/>
        </w:rPr>
        <w:t>17 144 565</w:t>
      </w:r>
      <w:r w:rsidR="00D262A7"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 лева с ДДС.</w:t>
      </w:r>
    </w:p>
    <w:p w:rsidR="00156A2A" w:rsidRPr="00F80391" w:rsidRDefault="00156A2A" w:rsidP="00156A2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80391">
        <w:rPr>
          <w:rFonts w:ascii="Times New Roman" w:hAnsi="Times New Roman" w:cs="Times New Roman"/>
          <w:b/>
          <w:sz w:val="24"/>
          <w:szCs w:val="24"/>
          <w:lang w:val="bg-BG"/>
        </w:rPr>
        <w:t>1. Съществуващо положение</w:t>
      </w:r>
      <w:r w:rsidRPr="00F80391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ED7B28" w:rsidRPr="00F80391" w:rsidRDefault="00ED7B28" w:rsidP="00D14DE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През 2011 година е разработено предпроектно проучване </w:t>
      </w:r>
      <w:r w:rsidR="00EE3344"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по проект „Разработване на пакет документи, насочени към модернизиране и развитие на устойчив градски транспорт в петте големи града, разделена на пет обособени позиции по Обособена позиция № 5 – град Плевен“ договор </w:t>
      </w:r>
      <w:r w:rsidR="00EE3344" w:rsidRPr="00F80391">
        <w:rPr>
          <w:rFonts w:ascii="Times New Roman" w:hAnsi="Times New Roman" w:cs="Times New Roman"/>
          <w:sz w:val="24"/>
          <w:szCs w:val="24"/>
        </w:rPr>
        <w:t>BG161PO001/5.1-01/2008/028-№ ИА-02-2910252</w:t>
      </w:r>
      <w:r w:rsidR="00EE3344"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 възложено от Министерство на регионалното развитие и благоустройство. В документа е заложени „дълъг списък” от проектни компоненти:</w:t>
      </w:r>
    </w:p>
    <w:p w:rsidR="00EE3344" w:rsidRPr="00F80391" w:rsidRDefault="00EE3344" w:rsidP="00EE334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80391">
        <w:rPr>
          <w:rFonts w:ascii="Times New Roman" w:hAnsi="Times New Roman" w:cs="Times New Roman"/>
          <w:sz w:val="24"/>
          <w:szCs w:val="24"/>
          <w:lang w:val="bg-BG"/>
        </w:rPr>
        <w:t>Компонент 1</w:t>
      </w:r>
      <w:r w:rsidRPr="00F80391">
        <w:rPr>
          <w:rFonts w:ascii="Times New Roman" w:hAnsi="Times New Roman" w:cs="Times New Roman"/>
          <w:sz w:val="24"/>
          <w:szCs w:val="24"/>
          <w:lang w:val="bg-BG"/>
        </w:rPr>
        <w:tab/>
        <w:t>Система за управление на обществения транспорт</w:t>
      </w:r>
    </w:p>
    <w:p w:rsidR="00EE3344" w:rsidRPr="00F80391" w:rsidRDefault="00EE3344" w:rsidP="00EE334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80391">
        <w:rPr>
          <w:rFonts w:ascii="Times New Roman" w:hAnsi="Times New Roman" w:cs="Times New Roman"/>
          <w:sz w:val="24"/>
          <w:szCs w:val="24"/>
          <w:lang w:val="bg-BG"/>
        </w:rPr>
        <w:t>•</w:t>
      </w:r>
      <w:r w:rsidRPr="00F80391">
        <w:rPr>
          <w:rFonts w:ascii="Times New Roman" w:hAnsi="Times New Roman" w:cs="Times New Roman"/>
          <w:sz w:val="24"/>
          <w:szCs w:val="24"/>
          <w:lang w:val="bg-BG"/>
        </w:rPr>
        <w:tab/>
        <w:t>Компонент 2</w:t>
      </w:r>
      <w:r w:rsidRPr="00F80391">
        <w:rPr>
          <w:rFonts w:ascii="Times New Roman" w:hAnsi="Times New Roman" w:cs="Times New Roman"/>
          <w:sz w:val="24"/>
          <w:szCs w:val="24"/>
          <w:lang w:val="bg-BG"/>
        </w:rPr>
        <w:tab/>
        <w:t>Ново тролейбусно депо</w:t>
      </w:r>
    </w:p>
    <w:p w:rsidR="00EE3344" w:rsidRPr="00F80391" w:rsidRDefault="00EE3344" w:rsidP="00EE334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80391">
        <w:rPr>
          <w:rFonts w:ascii="Times New Roman" w:hAnsi="Times New Roman" w:cs="Times New Roman"/>
          <w:sz w:val="24"/>
          <w:szCs w:val="24"/>
          <w:lang w:val="bg-BG"/>
        </w:rPr>
        <w:t>•</w:t>
      </w:r>
      <w:r w:rsidRPr="00F80391">
        <w:rPr>
          <w:rFonts w:ascii="Times New Roman" w:hAnsi="Times New Roman" w:cs="Times New Roman"/>
          <w:sz w:val="24"/>
          <w:szCs w:val="24"/>
          <w:lang w:val="bg-BG"/>
        </w:rPr>
        <w:tab/>
        <w:t>Компонент 3</w:t>
      </w:r>
      <w:r w:rsidRPr="00F80391">
        <w:rPr>
          <w:rFonts w:ascii="Times New Roman" w:hAnsi="Times New Roman" w:cs="Times New Roman"/>
          <w:sz w:val="24"/>
          <w:szCs w:val="24"/>
          <w:lang w:val="bg-BG"/>
        </w:rPr>
        <w:tab/>
        <w:t>Разширяване на тролейбусната мрежа</w:t>
      </w:r>
    </w:p>
    <w:p w:rsidR="00EE3344" w:rsidRPr="00F80391" w:rsidRDefault="00EE3344" w:rsidP="00EE334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80391">
        <w:rPr>
          <w:rFonts w:ascii="Times New Roman" w:hAnsi="Times New Roman" w:cs="Times New Roman"/>
          <w:sz w:val="24"/>
          <w:szCs w:val="24"/>
          <w:lang w:val="bg-BG"/>
        </w:rPr>
        <w:t>•</w:t>
      </w:r>
      <w:r w:rsidRPr="00F80391">
        <w:rPr>
          <w:rFonts w:ascii="Times New Roman" w:hAnsi="Times New Roman" w:cs="Times New Roman"/>
          <w:sz w:val="24"/>
          <w:szCs w:val="24"/>
          <w:lang w:val="bg-BG"/>
        </w:rPr>
        <w:tab/>
        <w:t>Компонент 4</w:t>
      </w:r>
      <w:r w:rsidRPr="00F80391">
        <w:rPr>
          <w:rFonts w:ascii="Times New Roman" w:hAnsi="Times New Roman" w:cs="Times New Roman"/>
          <w:sz w:val="24"/>
          <w:szCs w:val="24"/>
          <w:lang w:val="bg-BG"/>
        </w:rPr>
        <w:tab/>
        <w:t>Реконструкции и подобрения на тролейбусната мрежа</w:t>
      </w:r>
    </w:p>
    <w:p w:rsidR="00EE3344" w:rsidRPr="00F80391" w:rsidRDefault="00EE3344" w:rsidP="00EE334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80391">
        <w:rPr>
          <w:rFonts w:ascii="Times New Roman" w:hAnsi="Times New Roman" w:cs="Times New Roman"/>
          <w:sz w:val="24"/>
          <w:szCs w:val="24"/>
          <w:lang w:val="bg-BG"/>
        </w:rPr>
        <w:t>•</w:t>
      </w:r>
      <w:r w:rsidRPr="00F80391">
        <w:rPr>
          <w:rFonts w:ascii="Times New Roman" w:hAnsi="Times New Roman" w:cs="Times New Roman"/>
          <w:sz w:val="24"/>
          <w:szCs w:val="24"/>
          <w:lang w:val="bg-BG"/>
        </w:rPr>
        <w:tab/>
        <w:t>Компонент 5</w:t>
      </w:r>
      <w:r w:rsidRPr="00F80391">
        <w:rPr>
          <w:rFonts w:ascii="Times New Roman" w:hAnsi="Times New Roman" w:cs="Times New Roman"/>
          <w:sz w:val="24"/>
          <w:szCs w:val="24"/>
          <w:lang w:val="bg-BG"/>
        </w:rPr>
        <w:tab/>
        <w:t>Система за електронно таксуване</w:t>
      </w:r>
    </w:p>
    <w:p w:rsidR="00EE3344" w:rsidRPr="00F80391" w:rsidRDefault="00EE3344" w:rsidP="00EE334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80391">
        <w:rPr>
          <w:rFonts w:ascii="Times New Roman" w:hAnsi="Times New Roman" w:cs="Times New Roman"/>
          <w:sz w:val="24"/>
          <w:szCs w:val="24"/>
          <w:lang w:val="bg-BG"/>
        </w:rPr>
        <w:t>•</w:t>
      </w:r>
      <w:r w:rsidRPr="00F80391">
        <w:rPr>
          <w:rFonts w:ascii="Times New Roman" w:hAnsi="Times New Roman" w:cs="Times New Roman"/>
          <w:sz w:val="24"/>
          <w:szCs w:val="24"/>
          <w:lang w:val="bg-BG"/>
        </w:rPr>
        <w:tab/>
        <w:t>Компонент 6</w:t>
      </w:r>
      <w:r w:rsidRPr="00F80391">
        <w:rPr>
          <w:rFonts w:ascii="Times New Roman" w:hAnsi="Times New Roman" w:cs="Times New Roman"/>
          <w:sz w:val="24"/>
          <w:szCs w:val="24"/>
          <w:lang w:val="bg-BG"/>
        </w:rPr>
        <w:tab/>
        <w:t>Интелигентна система за управление на трафика</w:t>
      </w:r>
    </w:p>
    <w:p w:rsidR="00EE3344" w:rsidRPr="00F80391" w:rsidRDefault="00EE3344" w:rsidP="00EE334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80391">
        <w:rPr>
          <w:rFonts w:ascii="Times New Roman" w:hAnsi="Times New Roman" w:cs="Times New Roman"/>
          <w:sz w:val="24"/>
          <w:szCs w:val="24"/>
          <w:lang w:val="bg-BG"/>
        </w:rPr>
        <w:t>•</w:t>
      </w:r>
      <w:r w:rsidRPr="00F80391">
        <w:rPr>
          <w:rFonts w:ascii="Times New Roman" w:hAnsi="Times New Roman" w:cs="Times New Roman"/>
          <w:sz w:val="24"/>
          <w:szCs w:val="24"/>
          <w:lang w:val="bg-BG"/>
        </w:rPr>
        <w:tab/>
        <w:t>Компонент 7</w:t>
      </w:r>
      <w:r w:rsidRPr="00F80391">
        <w:rPr>
          <w:rFonts w:ascii="Times New Roman" w:hAnsi="Times New Roman" w:cs="Times New Roman"/>
          <w:sz w:val="24"/>
          <w:szCs w:val="24"/>
          <w:lang w:val="bg-BG"/>
        </w:rPr>
        <w:tab/>
        <w:t>Облагородяване на спирките на обществения транспорт</w:t>
      </w:r>
    </w:p>
    <w:p w:rsidR="00EE3344" w:rsidRPr="00F80391" w:rsidRDefault="00EE3344" w:rsidP="00EE334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80391">
        <w:rPr>
          <w:rFonts w:ascii="Times New Roman" w:hAnsi="Times New Roman" w:cs="Times New Roman"/>
          <w:sz w:val="24"/>
          <w:szCs w:val="24"/>
          <w:lang w:val="bg-BG"/>
        </w:rPr>
        <w:t>•</w:t>
      </w:r>
      <w:r w:rsidRPr="00F80391">
        <w:rPr>
          <w:rFonts w:ascii="Times New Roman" w:hAnsi="Times New Roman" w:cs="Times New Roman"/>
          <w:sz w:val="24"/>
          <w:szCs w:val="24"/>
          <w:lang w:val="bg-BG"/>
        </w:rPr>
        <w:tab/>
        <w:t>Компонент 8</w:t>
      </w:r>
      <w:r w:rsidRPr="00F80391">
        <w:rPr>
          <w:rFonts w:ascii="Times New Roman" w:hAnsi="Times New Roman" w:cs="Times New Roman"/>
          <w:sz w:val="24"/>
          <w:szCs w:val="24"/>
          <w:lang w:val="bg-BG"/>
        </w:rPr>
        <w:tab/>
        <w:t>Велоалеи</w:t>
      </w:r>
    </w:p>
    <w:p w:rsidR="00EE3344" w:rsidRPr="00F80391" w:rsidRDefault="00EE3344" w:rsidP="00EE334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80391">
        <w:rPr>
          <w:rFonts w:ascii="Times New Roman" w:hAnsi="Times New Roman" w:cs="Times New Roman"/>
          <w:sz w:val="24"/>
          <w:szCs w:val="24"/>
          <w:lang w:val="bg-BG"/>
        </w:rPr>
        <w:t>•</w:t>
      </w:r>
      <w:r w:rsidRPr="00F80391">
        <w:rPr>
          <w:rFonts w:ascii="Times New Roman" w:hAnsi="Times New Roman" w:cs="Times New Roman"/>
          <w:sz w:val="24"/>
          <w:szCs w:val="24"/>
          <w:lang w:val="bg-BG"/>
        </w:rPr>
        <w:tab/>
        <w:t>Компонент 9</w:t>
      </w:r>
      <w:r w:rsidRPr="00F80391">
        <w:rPr>
          <w:rFonts w:ascii="Times New Roman" w:hAnsi="Times New Roman" w:cs="Times New Roman"/>
          <w:sz w:val="24"/>
          <w:szCs w:val="24"/>
          <w:lang w:val="bg-BG"/>
        </w:rPr>
        <w:tab/>
        <w:t>Подмяна на подвижен състав</w:t>
      </w:r>
    </w:p>
    <w:p w:rsidR="00EE3344" w:rsidRPr="00F80391" w:rsidRDefault="00EE3344" w:rsidP="00EE334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80391">
        <w:rPr>
          <w:rFonts w:ascii="Times New Roman" w:hAnsi="Times New Roman" w:cs="Times New Roman"/>
          <w:sz w:val="24"/>
          <w:szCs w:val="24"/>
          <w:lang w:val="bg-BG"/>
        </w:rPr>
        <w:t>•</w:t>
      </w:r>
      <w:r w:rsidRPr="00F80391">
        <w:rPr>
          <w:rFonts w:ascii="Times New Roman" w:hAnsi="Times New Roman" w:cs="Times New Roman"/>
          <w:sz w:val="24"/>
          <w:szCs w:val="24"/>
          <w:lang w:val="bg-BG"/>
        </w:rPr>
        <w:tab/>
        <w:t>Компонент 10</w:t>
      </w:r>
      <w:r w:rsidRPr="00F80391">
        <w:rPr>
          <w:rFonts w:ascii="Times New Roman" w:hAnsi="Times New Roman" w:cs="Times New Roman"/>
          <w:sz w:val="24"/>
          <w:szCs w:val="24"/>
          <w:lang w:val="bg-BG"/>
        </w:rPr>
        <w:tab/>
        <w:t>Система за управление на транспортната инфраструктура</w:t>
      </w:r>
    </w:p>
    <w:p w:rsidR="00EE3344" w:rsidRPr="00F80391" w:rsidRDefault="00EE3344" w:rsidP="00EE334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80391">
        <w:rPr>
          <w:rFonts w:ascii="Times New Roman" w:hAnsi="Times New Roman" w:cs="Times New Roman"/>
          <w:sz w:val="24"/>
          <w:szCs w:val="24"/>
          <w:lang w:val="bg-BG"/>
        </w:rPr>
        <w:t>•</w:t>
      </w:r>
      <w:r w:rsidRPr="00F80391">
        <w:rPr>
          <w:rFonts w:ascii="Times New Roman" w:hAnsi="Times New Roman" w:cs="Times New Roman"/>
          <w:sz w:val="24"/>
          <w:szCs w:val="24"/>
          <w:lang w:val="bg-BG"/>
        </w:rPr>
        <w:tab/>
        <w:t>Компонент 11</w:t>
      </w:r>
      <w:r w:rsidRPr="00F80391">
        <w:rPr>
          <w:rFonts w:ascii="Times New Roman" w:hAnsi="Times New Roman" w:cs="Times New Roman"/>
          <w:sz w:val="24"/>
          <w:szCs w:val="24"/>
          <w:lang w:val="bg-BG"/>
        </w:rPr>
        <w:tab/>
        <w:t>Безопасност на движението</w:t>
      </w:r>
    </w:p>
    <w:p w:rsidR="00EE3344" w:rsidRPr="00F80391" w:rsidRDefault="00EE3344" w:rsidP="00EE334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80391">
        <w:rPr>
          <w:rFonts w:ascii="Times New Roman" w:hAnsi="Times New Roman" w:cs="Times New Roman"/>
          <w:sz w:val="24"/>
          <w:szCs w:val="24"/>
          <w:lang w:val="bg-BG"/>
        </w:rPr>
        <w:t>•</w:t>
      </w:r>
      <w:r w:rsidRPr="00F80391">
        <w:rPr>
          <w:rFonts w:ascii="Times New Roman" w:hAnsi="Times New Roman" w:cs="Times New Roman"/>
          <w:sz w:val="24"/>
          <w:szCs w:val="24"/>
          <w:lang w:val="bg-BG"/>
        </w:rPr>
        <w:tab/>
        <w:t>Компонент 12</w:t>
      </w:r>
      <w:r w:rsidRPr="00F80391">
        <w:rPr>
          <w:rFonts w:ascii="Times New Roman" w:hAnsi="Times New Roman" w:cs="Times New Roman"/>
          <w:sz w:val="24"/>
          <w:szCs w:val="24"/>
          <w:lang w:val="bg-BG"/>
        </w:rPr>
        <w:tab/>
        <w:t>Програма за устойчиво развитие и внедряване на иновативни решения.</w:t>
      </w:r>
    </w:p>
    <w:p w:rsidR="00EE3344" w:rsidRPr="00F80391" w:rsidRDefault="00EE3344" w:rsidP="00EE334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Компоненти 5, 9 и 11 не са изпълнявани поради </w:t>
      </w:r>
      <w:r w:rsidR="00FD3E69" w:rsidRPr="00F80391">
        <w:rPr>
          <w:rFonts w:ascii="Times New Roman" w:hAnsi="Times New Roman" w:cs="Times New Roman"/>
          <w:sz w:val="24"/>
          <w:szCs w:val="24"/>
          <w:lang w:val="bg-BG"/>
        </w:rPr>
        <w:t>ограничения бюджет</w:t>
      </w:r>
      <w:r w:rsidRPr="00F8039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156A2A" w:rsidRPr="00F80391" w:rsidRDefault="00156A2A" w:rsidP="00D14DE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80391">
        <w:rPr>
          <w:rFonts w:ascii="Times New Roman" w:hAnsi="Times New Roman" w:cs="Times New Roman"/>
          <w:sz w:val="24"/>
          <w:szCs w:val="24"/>
          <w:lang w:val="bg-BG"/>
        </w:rPr>
        <w:lastRenderedPageBreak/>
        <w:t>Към настоящия момент Община Плевен е изпълнила следните дейности свързани с модернизиране на градския транспорт по проект „Интегриран градски транспорт на Плевен“ финансиран по Оперативна програма „Регионално развитие 2007-2013 г.“:</w:t>
      </w:r>
    </w:p>
    <w:p w:rsidR="00156A2A" w:rsidRPr="00F80391" w:rsidRDefault="00156A2A" w:rsidP="00156A2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80391">
        <w:rPr>
          <w:rFonts w:ascii="Times New Roman" w:hAnsi="Times New Roman" w:cs="Times New Roman"/>
          <w:sz w:val="24"/>
          <w:szCs w:val="24"/>
          <w:lang w:val="bg-BG"/>
        </w:rPr>
        <w:t>Изградена „Система за управление и контрол на масов градски обществен транспорт“;</w:t>
      </w:r>
    </w:p>
    <w:p w:rsidR="00156A2A" w:rsidRPr="00F80391" w:rsidRDefault="00156A2A" w:rsidP="00156A2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Изградено ново тролейбусно депо с капацитет за домуване на 70 тролейбуса; </w:t>
      </w:r>
    </w:p>
    <w:p w:rsidR="00156A2A" w:rsidRPr="00F80391" w:rsidRDefault="00156A2A" w:rsidP="00156A2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80391">
        <w:rPr>
          <w:rFonts w:ascii="Times New Roman" w:hAnsi="Times New Roman" w:cs="Times New Roman"/>
          <w:sz w:val="24"/>
          <w:szCs w:val="24"/>
          <w:lang w:val="bg-BG"/>
        </w:rPr>
        <w:t>Реконструкция, подобрения, разширяване и оптимизиране на тролейбусна мрежа.</w:t>
      </w:r>
    </w:p>
    <w:p w:rsidR="003B2CBA" w:rsidRPr="00F80391" w:rsidRDefault="00156A2A" w:rsidP="00156A2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80391">
        <w:rPr>
          <w:rFonts w:ascii="Times New Roman" w:hAnsi="Times New Roman" w:cs="Times New Roman"/>
          <w:sz w:val="24"/>
          <w:szCs w:val="24"/>
          <w:lang w:val="bg-BG"/>
        </w:rPr>
        <w:t>Изградена интелигентна транспортна система на 13 бр. ключови кръстовища</w:t>
      </w:r>
      <w:r w:rsidR="003B2CBA" w:rsidRPr="00F8039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3B2CBA" w:rsidRPr="00F80391" w:rsidRDefault="003B2CBA" w:rsidP="00156A2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80391">
        <w:rPr>
          <w:rFonts w:ascii="Times New Roman" w:hAnsi="Times New Roman" w:cs="Times New Roman"/>
          <w:sz w:val="24"/>
          <w:szCs w:val="24"/>
          <w:lang w:val="bg-BG"/>
        </w:rPr>
        <w:t>Облагородяване на спирките на обществения градски транспорт.</w:t>
      </w:r>
    </w:p>
    <w:p w:rsidR="003B2CBA" w:rsidRPr="00F80391" w:rsidRDefault="003B2CBA" w:rsidP="00156A2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80391">
        <w:rPr>
          <w:rFonts w:ascii="Times New Roman" w:hAnsi="Times New Roman" w:cs="Times New Roman"/>
          <w:sz w:val="24"/>
          <w:szCs w:val="24"/>
          <w:lang w:val="bg-BG"/>
        </w:rPr>
        <w:t>Изградени велоалеи - 10,18 км.</w:t>
      </w:r>
    </w:p>
    <w:p w:rsidR="00156A2A" w:rsidRPr="00F80391" w:rsidRDefault="003B2CBA" w:rsidP="003B2CB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Разработени програми за устойчиво развитие и внедряване на иновативни решения: - </w:t>
      </w:r>
      <w:r w:rsidR="00D14DE6" w:rsidRPr="00F80391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F80391">
        <w:rPr>
          <w:rFonts w:ascii="Times New Roman" w:hAnsi="Times New Roman" w:cs="Times New Roman"/>
          <w:sz w:val="24"/>
          <w:szCs w:val="24"/>
          <w:lang w:val="bg-BG"/>
        </w:rPr>
        <w:t>Стратегическа рамка за дългосрочно планиране и прогнозиране</w:t>
      </w:r>
      <w:r w:rsidR="00D14DE6" w:rsidRPr="00F80391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; - </w:t>
      </w:r>
      <w:r w:rsidR="00D14DE6" w:rsidRPr="00F80391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F80391">
        <w:rPr>
          <w:rFonts w:ascii="Times New Roman" w:hAnsi="Times New Roman" w:cs="Times New Roman"/>
          <w:sz w:val="24"/>
          <w:szCs w:val="24"/>
          <w:lang w:val="bg-BG"/>
        </w:rPr>
        <w:t>Единен финансов модел на МГОТ</w:t>
      </w:r>
      <w:r w:rsidR="00D14DE6" w:rsidRPr="00F80391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; - </w:t>
      </w:r>
      <w:r w:rsidR="00D14DE6" w:rsidRPr="00F80391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F80391">
        <w:rPr>
          <w:rFonts w:ascii="Times New Roman" w:hAnsi="Times New Roman" w:cs="Times New Roman"/>
          <w:sz w:val="24"/>
          <w:szCs w:val="24"/>
          <w:lang w:val="bg-BG"/>
        </w:rPr>
        <w:t>Модел на управление на транспорта и инфраструктурата</w:t>
      </w:r>
      <w:r w:rsidR="00D14DE6" w:rsidRPr="00F80391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; - </w:t>
      </w:r>
      <w:r w:rsidR="00D14DE6" w:rsidRPr="00F80391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F80391">
        <w:rPr>
          <w:rFonts w:ascii="Times New Roman" w:hAnsi="Times New Roman" w:cs="Times New Roman"/>
          <w:sz w:val="24"/>
          <w:szCs w:val="24"/>
          <w:lang w:val="bg-BG"/>
        </w:rPr>
        <w:t>Генерален план за организация на движението</w:t>
      </w:r>
      <w:r w:rsidR="00D14DE6" w:rsidRPr="00F80391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="00D14DE6" w:rsidRPr="00F80391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F80391">
        <w:rPr>
          <w:rFonts w:ascii="Times New Roman" w:hAnsi="Times New Roman" w:cs="Times New Roman"/>
          <w:sz w:val="24"/>
          <w:szCs w:val="24"/>
          <w:lang w:val="bg-BG"/>
        </w:rPr>
        <w:t>Стратегия и план за организиране и контрол на паркирането</w:t>
      </w:r>
      <w:r w:rsidR="00D14DE6" w:rsidRPr="00F80391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156A2A"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FD3E69" w:rsidRPr="00F80391" w:rsidRDefault="00FD3E69" w:rsidP="005E74A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По </w:t>
      </w:r>
      <w:r w:rsidR="005E74A0"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Проект „Прилагане на мерки за подобряване качеството на живот в градовете Бургас, Варна, Стара Загора и Плевен” финансиран </w:t>
      </w:r>
      <w:r w:rsidR="00E6736B"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по приоритетна ос 1 на </w:t>
      </w:r>
      <w:r w:rsidR="005E74A0"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ОП „Околна среда” са доставени </w:t>
      </w:r>
      <w:r w:rsidR="005E74A0" w:rsidRPr="00F80391">
        <w:rPr>
          <w:rFonts w:ascii="Times New Roman" w:hAnsi="Times New Roman" w:cs="Times New Roman"/>
          <w:b/>
          <w:sz w:val="24"/>
          <w:szCs w:val="24"/>
          <w:lang w:val="bg-BG"/>
        </w:rPr>
        <w:t>40 нови тролейбуси</w:t>
      </w:r>
      <w:r w:rsidR="005E74A0"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 за гр. Плевен.</w:t>
      </w:r>
    </w:p>
    <w:p w:rsidR="00293F39" w:rsidRPr="00F80391" w:rsidRDefault="00293F39" w:rsidP="005E74A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По проект </w:t>
      </w:r>
      <w:r w:rsidR="00F955D5"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„Организация на уличното движение и подобряване на физическата среда за устойчиво и интегрирано развитие на град Плевен“ договор </w:t>
      </w:r>
      <w:r w:rsidR="00F955D5" w:rsidRPr="00F80391">
        <w:rPr>
          <w:rFonts w:ascii="Times New Roman" w:hAnsi="Times New Roman" w:cs="Times New Roman"/>
          <w:sz w:val="24"/>
          <w:szCs w:val="24"/>
          <w:lang w:val="en-US"/>
        </w:rPr>
        <w:t xml:space="preserve">BG161PO001/1.4-05/2009/003, </w:t>
      </w:r>
      <w:r w:rsidR="00F955D5" w:rsidRPr="00F80391">
        <w:rPr>
          <w:rFonts w:ascii="Times New Roman" w:hAnsi="Times New Roman" w:cs="Times New Roman"/>
          <w:sz w:val="24"/>
          <w:szCs w:val="24"/>
          <w:lang w:val="bg-BG"/>
        </w:rPr>
        <w:t>изградено видеонаблюдение на 4 кръстовища: ул. „Стоян Заимов“ и ул. „Вардар“; бул. „Христо Ботев“ и ул. „Сан Стефано“; бул. „Георги Кочев“ и ул. „Гренадерска“; бул. „Георги Кочев“ и ул. „Вид“, както и изградени велоалея - 1,8 км., пет детски и спортна площадки и ремонт на улична мрежа.</w:t>
      </w:r>
    </w:p>
    <w:p w:rsidR="005E74A0" w:rsidRPr="00F80391" w:rsidRDefault="005E74A0" w:rsidP="005E74A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56A2A" w:rsidRPr="00F80391" w:rsidRDefault="00D14DE6" w:rsidP="00D14DE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80391">
        <w:rPr>
          <w:rFonts w:ascii="Times New Roman" w:hAnsi="Times New Roman" w:cs="Times New Roman"/>
          <w:b/>
          <w:sz w:val="24"/>
          <w:szCs w:val="24"/>
          <w:lang w:val="bg-BG"/>
        </w:rPr>
        <w:t>2. Цел</w:t>
      </w:r>
      <w:r w:rsidRPr="00F80391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AF4114" w:rsidRPr="00F80391" w:rsidRDefault="00AF4114" w:rsidP="00AF411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80391">
        <w:rPr>
          <w:rFonts w:ascii="Times New Roman" w:hAnsi="Times New Roman" w:cs="Times New Roman"/>
          <w:b/>
          <w:sz w:val="24"/>
          <w:szCs w:val="24"/>
          <w:lang w:val="bg-BG"/>
        </w:rPr>
        <w:t>Обща цел</w:t>
      </w:r>
      <w:r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 на поръчката е изготвяне на набор от документи</w:t>
      </w:r>
      <w:r w:rsidR="007728E2" w:rsidRPr="00F80391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 необходими за подготовката, разработването и реализацията на </w:t>
      </w:r>
      <w:r w:rsidR="005030D9"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Проект „Интегриран градски транспорт на Плевен – фаза 2“ </w:t>
      </w:r>
    </w:p>
    <w:p w:rsidR="00AF4114" w:rsidRPr="00F80391" w:rsidRDefault="00AF4114" w:rsidP="00F2408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80391">
        <w:rPr>
          <w:rFonts w:ascii="Times New Roman" w:hAnsi="Times New Roman" w:cs="Times New Roman"/>
          <w:b/>
          <w:sz w:val="24"/>
          <w:szCs w:val="24"/>
          <w:lang w:val="bg-BG"/>
        </w:rPr>
        <w:t xml:space="preserve">Специфична цел </w:t>
      </w:r>
      <w:r w:rsidR="00F24087" w:rsidRPr="00F80391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24087" w:rsidRPr="00F80391">
        <w:rPr>
          <w:rFonts w:ascii="Times New Roman" w:hAnsi="Times New Roman" w:cs="Times New Roman"/>
          <w:sz w:val="24"/>
          <w:szCs w:val="24"/>
          <w:lang w:val="bg-BG"/>
        </w:rPr>
        <w:t>е преглед и анализ на съществуващото положение и изготвяне на целесъобразен и ефективен вариант (сценарий) на проект „Интегриран градски транспорт на Плевен – фаза 2“ за финансиране от ОПРР 2014-2020 в съответствие с политиките за градско развитие и международните стандарти.</w:t>
      </w:r>
    </w:p>
    <w:p w:rsidR="00AF4114" w:rsidRPr="00F80391" w:rsidRDefault="0081101A" w:rsidP="00AF411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80391">
        <w:rPr>
          <w:rFonts w:ascii="Times New Roman" w:hAnsi="Times New Roman" w:cs="Times New Roman"/>
          <w:b/>
          <w:sz w:val="24"/>
          <w:szCs w:val="24"/>
          <w:lang w:val="bg-BG"/>
        </w:rPr>
        <w:t>Специфична цел 2</w:t>
      </w:r>
      <w:r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 е надграждане на политиките за </w:t>
      </w:r>
      <w:r w:rsidR="00D262A7"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модернизиране на </w:t>
      </w:r>
      <w:r w:rsidRPr="00F80391">
        <w:rPr>
          <w:rFonts w:ascii="Times New Roman" w:hAnsi="Times New Roman" w:cs="Times New Roman"/>
          <w:sz w:val="24"/>
          <w:szCs w:val="24"/>
          <w:lang w:val="bg-BG"/>
        </w:rPr>
        <w:t>интегриран</w:t>
      </w:r>
      <w:r w:rsidR="00D262A7" w:rsidRPr="00F80391">
        <w:rPr>
          <w:rFonts w:ascii="Times New Roman" w:hAnsi="Times New Roman" w:cs="Times New Roman"/>
          <w:sz w:val="24"/>
          <w:szCs w:val="24"/>
          <w:lang w:val="bg-BG"/>
        </w:rPr>
        <w:t>ия</w:t>
      </w:r>
      <w:r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 градски транспорт, чрез </w:t>
      </w:r>
      <w:r w:rsidR="00F24087" w:rsidRPr="00F80391">
        <w:rPr>
          <w:rFonts w:ascii="Times New Roman" w:hAnsi="Times New Roman" w:cs="Times New Roman"/>
          <w:sz w:val="24"/>
          <w:szCs w:val="24"/>
          <w:lang w:val="bg-BG"/>
        </w:rPr>
        <w:t>ефективно и устойчиво подобр</w:t>
      </w:r>
      <w:r w:rsidRPr="00F80391">
        <w:rPr>
          <w:rFonts w:ascii="Times New Roman" w:hAnsi="Times New Roman" w:cs="Times New Roman"/>
          <w:sz w:val="24"/>
          <w:szCs w:val="24"/>
          <w:lang w:val="bg-BG"/>
        </w:rPr>
        <w:t>яване на</w:t>
      </w:r>
      <w:r w:rsidR="00F24087"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0391">
        <w:rPr>
          <w:rFonts w:ascii="Times New Roman" w:hAnsi="Times New Roman" w:cs="Times New Roman"/>
          <w:sz w:val="24"/>
          <w:szCs w:val="24"/>
          <w:lang w:val="bg-BG"/>
        </w:rPr>
        <w:t>предоставяната</w:t>
      </w:r>
      <w:r w:rsidR="00F24087"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 услуга </w:t>
      </w:r>
      <w:r w:rsidRPr="00F80391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F24087" w:rsidRPr="00F80391">
        <w:rPr>
          <w:rFonts w:ascii="Times New Roman" w:hAnsi="Times New Roman" w:cs="Times New Roman"/>
          <w:sz w:val="24"/>
          <w:szCs w:val="24"/>
          <w:lang w:val="bg-BG"/>
        </w:rPr>
        <w:t>градски транспорт</w:t>
      </w:r>
      <w:r w:rsidRPr="00F80391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F24087"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 и регулиране на трафика в град Плевен</w:t>
      </w:r>
      <w:r w:rsidRPr="00F8039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81101A" w:rsidRPr="00F80391" w:rsidRDefault="0081101A" w:rsidP="0081101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1101A" w:rsidRPr="00F80391" w:rsidRDefault="0081101A" w:rsidP="0081101A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80391">
        <w:rPr>
          <w:rFonts w:ascii="Times New Roman" w:hAnsi="Times New Roman" w:cs="Times New Roman"/>
          <w:b/>
          <w:sz w:val="24"/>
          <w:szCs w:val="24"/>
          <w:lang w:val="bg-BG"/>
        </w:rPr>
        <w:t>3. Дейности:</w:t>
      </w:r>
    </w:p>
    <w:p w:rsidR="00F02D2E" w:rsidRPr="00F80391" w:rsidRDefault="0081101A" w:rsidP="0081101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3.1. </w:t>
      </w:r>
      <w:r w:rsidR="00F02D2E" w:rsidRPr="00F80391">
        <w:rPr>
          <w:rFonts w:ascii="Times New Roman" w:hAnsi="Times New Roman" w:cs="Times New Roman"/>
          <w:b/>
          <w:sz w:val="24"/>
          <w:szCs w:val="24"/>
          <w:lang w:val="bg-BG"/>
        </w:rPr>
        <w:t>Предпроектното проучване</w:t>
      </w:r>
      <w:r w:rsidR="00F02D2E"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 следва да представи стратегията за цялостното развитие на града и транспорта, в съответствие с</w:t>
      </w:r>
      <w:r w:rsidR="00633C7B" w:rsidRPr="00F80391">
        <w:rPr>
          <w:rFonts w:ascii="Times New Roman" w:hAnsi="Times New Roman" w:cs="Times New Roman"/>
          <w:sz w:val="24"/>
          <w:szCs w:val="24"/>
          <w:lang w:val="bg-BG"/>
        </w:rPr>
        <w:t>ъс следните стратегически документи:</w:t>
      </w:r>
      <w:r w:rsidR="00F02D2E"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A1D40"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„План за развитие на община Плевен за периода 2014-2020 г.“, </w:t>
      </w:r>
      <w:r w:rsidR="009F1700"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„Концепция за пространствено развитие на община Плевен за периода 2014-2025 г.“, „ГПОД на Плевен“ </w:t>
      </w:r>
      <w:r w:rsidR="009A1D40"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„ИПГВР на Плевен“, </w:t>
      </w:r>
      <w:r w:rsidR="009F1700"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„План за устойчива градска мобилност на Плевен (2015-2025 г.)“, „Единен финансов модел на МГОТ“, „Модел на управление на транспорта и инфраструктурата“, </w:t>
      </w:r>
      <w:r w:rsidR="00633C7B"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„Стратегия и план за </w:t>
      </w:r>
      <w:r w:rsidR="00633C7B" w:rsidRPr="00F80391">
        <w:rPr>
          <w:rFonts w:ascii="Times New Roman" w:hAnsi="Times New Roman" w:cs="Times New Roman"/>
          <w:sz w:val="24"/>
          <w:szCs w:val="24"/>
          <w:lang w:val="bg-BG"/>
        </w:rPr>
        <w:lastRenderedPageBreak/>
        <w:t>организация и контрол на паркирането“</w:t>
      </w:r>
      <w:r w:rsidR="00F02D2E"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33C7B"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както и да </w:t>
      </w:r>
      <w:r w:rsidR="00F02D2E" w:rsidRPr="00F80391">
        <w:rPr>
          <w:rFonts w:ascii="Times New Roman" w:hAnsi="Times New Roman" w:cs="Times New Roman"/>
          <w:sz w:val="24"/>
          <w:szCs w:val="24"/>
          <w:lang w:val="bg-BG"/>
        </w:rPr>
        <w:t>бъде в съответствие с актуална транспортно-комуникационна схема на града, Общ устройствен план и др.</w:t>
      </w:r>
    </w:p>
    <w:p w:rsidR="006B042B" w:rsidRPr="00F80391" w:rsidRDefault="00A05000" w:rsidP="00F02D2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Предпроектното </w:t>
      </w:r>
      <w:r w:rsidR="006B042B" w:rsidRPr="00F80391">
        <w:rPr>
          <w:rFonts w:ascii="Times New Roman" w:hAnsi="Times New Roman" w:cs="Times New Roman"/>
          <w:sz w:val="24"/>
          <w:szCs w:val="24"/>
          <w:lang w:val="bg-BG"/>
        </w:rPr>
        <w:t>проучване следва да отчита въздействието на всички мерки,</w:t>
      </w:r>
      <w:r w:rsidR="004E4CF3"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B042B" w:rsidRPr="00F80391">
        <w:rPr>
          <w:rFonts w:ascii="Times New Roman" w:hAnsi="Times New Roman" w:cs="Times New Roman"/>
          <w:sz w:val="24"/>
          <w:szCs w:val="24"/>
          <w:lang w:val="bg-BG"/>
        </w:rPr>
        <w:t>предприети на територията на общината за управление на транспорта, включително</w:t>
      </w:r>
      <w:r w:rsidR="004E4CF3"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B042B"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такива, които се изпълняват със </w:t>
      </w:r>
      <w:r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собствени средства </w:t>
      </w:r>
      <w:r w:rsidR="006B042B" w:rsidRPr="00F80391">
        <w:rPr>
          <w:rFonts w:ascii="Times New Roman" w:hAnsi="Times New Roman" w:cs="Times New Roman"/>
          <w:sz w:val="24"/>
          <w:szCs w:val="24"/>
          <w:lang w:val="bg-BG"/>
        </w:rPr>
        <w:t>или частни инвестиции.</w:t>
      </w:r>
    </w:p>
    <w:p w:rsidR="006B042B" w:rsidRPr="00F80391" w:rsidRDefault="006B042B" w:rsidP="00A0500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80391">
        <w:rPr>
          <w:rFonts w:ascii="Times New Roman" w:hAnsi="Times New Roman" w:cs="Times New Roman"/>
          <w:sz w:val="24"/>
          <w:szCs w:val="24"/>
          <w:lang w:val="bg-BG"/>
        </w:rPr>
        <w:t>Пред-проектното проучване трябва да съдържа достатъчна обосновка за вида на</w:t>
      </w:r>
      <w:r w:rsidR="004E4CF3"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0391">
        <w:rPr>
          <w:rFonts w:ascii="Times New Roman" w:hAnsi="Times New Roman" w:cs="Times New Roman"/>
          <w:sz w:val="24"/>
          <w:szCs w:val="24"/>
          <w:lang w:val="bg-BG"/>
        </w:rPr>
        <w:t>маршрутите предвидените транспортни средства и съоръжения, като представи</w:t>
      </w:r>
      <w:r w:rsidR="004E4CF3"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0391">
        <w:rPr>
          <w:rFonts w:ascii="Times New Roman" w:hAnsi="Times New Roman" w:cs="Times New Roman"/>
          <w:sz w:val="24"/>
          <w:szCs w:val="24"/>
          <w:lang w:val="bg-BG"/>
        </w:rPr>
        <w:t>настоящата ситуация, включително наличните маршрути, вело- и пешеходни алеи,</w:t>
      </w:r>
      <w:r w:rsidR="004E4CF3"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0391">
        <w:rPr>
          <w:rFonts w:ascii="Times New Roman" w:hAnsi="Times New Roman" w:cs="Times New Roman"/>
          <w:sz w:val="24"/>
          <w:szCs w:val="24"/>
          <w:lang w:val="bg-BG"/>
        </w:rPr>
        <w:t>транспортни средства и съоръжения, представи оценка на необходимостта и дефинира</w:t>
      </w:r>
      <w:r w:rsidR="004E4CF3"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0391">
        <w:rPr>
          <w:rFonts w:ascii="Times New Roman" w:hAnsi="Times New Roman" w:cs="Times New Roman"/>
          <w:sz w:val="24"/>
          <w:szCs w:val="24"/>
          <w:lang w:val="bg-BG"/>
        </w:rPr>
        <w:t>обхвата на проекта.</w:t>
      </w:r>
    </w:p>
    <w:p w:rsidR="006B042B" w:rsidRPr="00F80391" w:rsidRDefault="006B042B" w:rsidP="00F02D2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0391">
        <w:rPr>
          <w:rFonts w:ascii="Times New Roman" w:hAnsi="Times New Roman" w:cs="Times New Roman"/>
          <w:sz w:val="24"/>
          <w:szCs w:val="24"/>
          <w:lang w:val="bg-BG"/>
        </w:rPr>
        <w:t>Предпроектното проучване следва да разглежда вариантни решения (сценарии) за</w:t>
      </w:r>
      <w:r w:rsidR="004E4CF3"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0391">
        <w:rPr>
          <w:rFonts w:ascii="Times New Roman" w:hAnsi="Times New Roman" w:cs="Times New Roman"/>
          <w:sz w:val="24"/>
          <w:szCs w:val="24"/>
          <w:lang w:val="bg-BG"/>
        </w:rPr>
        <w:t>избора им и да докаже целесъобразността на избраната опция. Следва да се</w:t>
      </w:r>
      <w:r w:rsidR="004E4CF3"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0391">
        <w:rPr>
          <w:rFonts w:ascii="Times New Roman" w:hAnsi="Times New Roman" w:cs="Times New Roman"/>
          <w:sz w:val="24"/>
          <w:szCs w:val="24"/>
          <w:lang w:val="bg-BG"/>
        </w:rPr>
        <w:t>представят прогнозните тенденции по отношение на трафика и търсенето, както и</w:t>
      </w:r>
      <w:r w:rsidR="004E4CF3"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0391">
        <w:rPr>
          <w:rFonts w:ascii="Times New Roman" w:hAnsi="Times New Roman" w:cs="Times New Roman"/>
          <w:sz w:val="24"/>
          <w:szCs w:val="24"/>
          <w:lang w:val="bg-BG"/>
        </w:rPr>
        <w:t>промяната им след изпълнение на планираните инвестиции. Тази информация следва</w:t>
      </w:r>
      <w:r w:rsidR="004E4CF3"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0391">
        <w:rPr>
          <w:rFonts w:ascii="Times New Roman" w:hAnsi="Times New Roman" w:cs="Times New Roman"/>
          <w:sz w:val="24"/>
          <w:szCs w:val="24"/>
          <w:lang w:val="bg-BG"/>
        </w:rPr>
        <w:t>да е подкрепена с описание на транспортното моделиране и резултатите от него и да</w:t>
      </w:r>
      <w:r w:rsidR="004E4CF3"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0391">
        <w:rPr>
          <w:rFonts w:ascii="Times New Roman" w:hAnsi="Times New Roman" w:cs="Times New Roman"/>
          <w:sz w:val="24"/>
          <w:szCs w:val="24"/>
          <w:lang w:val="bg-BG"/>
        </w:rPr>
        <w:t>включва прогнозни данни за допълнителния брой пътувания в резултат на</w:t>
      </w:r>
      <w:r w:rsidR="004E4CF3"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0391">
        <w:rPr>
          <w:rFonts w:ascii="Times New Roman" w:hAnsi="Times New Roman" w:cs="Times New Roman"/>
          <w:sz w:val="24"/>
          <w:szCs w:val="24"/>
          <w:lang w:val="bg-BG"/>
        </w:rPr>
        <w:t>интервенциите.</w:t>
      </w:r>
    </w:p>
    <w:p w:rsidR="005B4A06" w:rsidRPr="00F80391" w:rsidRDefault="005B4A06" w:rsidP="00F02D2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80391">
        <w:rPr>
          <w:rFonts w:ascii="Times New Roman" w:hAnsi="Times New Roman" w:cs="Times New Roman"/>
          <w:sz w:val="24"/>
          <w:szCs w:val="24"/>
          <w:lang w:val="bg-BG"/>
        </w:rPr>
        <w:t>В рамките на пред-инвестиционното проучване следва да бъде извършено детайлно проучване на трафика и да се анализира състоянието на материално - техническата база на oбщинския пътнически транспорт и нуждата от интервенции в нея. Пред-инвестиционното проучване следва да обхване проучване и препоръки за режима на паркиране и таксуване на водачите на МПС, както и да предвиди във всички планирани интервенции по проекти, изграждането на достъпна среда за хората в неравностойно положение.</w:t>
      </w:r>
    </w:p>
    <w:p w:rsidR="006B042B" w:rsidRPr="00F80391" w:rsidRDefault="006B042B" w:rsidP="00F02D2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80391">
        <w:rPr>
          <w:rFonts w:ascii="Times New Roman" w:hAnsi="Times New Roman" w:cs="Times New Roman"/>
          <w:sz w:val="24"/>
          <w:szCs w:val="24"/>
          <w:lang w:val="bg-BG"/>
        </w:rPr>
        <w:t>Проучването трябва да съдържа подробен анализ на правната и институционална</w:t>
      </w:r>
      <w:r w:rsidR="004E4CF3"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0391">
        <w:rPr>
          <w:rFonts w:ascii="Times New Roman" w:hAnsi="Times New Roman" w:cs="Times New Roman"/>
          <w:sz w:val="24"/>
          <w:szCs w:val="24"/>
          <w:lang w:val="bg-BG"/>
        </w:rPr>
        <w:t>рамка, в която проектът ще се изпълнява и в която ще бъдат експлоатирани</w:t>
      </w:r>
      <w:r w:rsidR="004E4CF3"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0391">
        <w:rPr>
          <w:rFonts w:ascii="Times New Roman" w:hAnsi="Times New Roman" w:cs="Times New Roman"/>
          <w:sz w:val="24"/>
          <w:szCs w:val="24"/>
          <w:lang w:val="bg-BG"/>
        </w:rPr>
        <w:t>резултатите, както и да предлага адекватен модел на експлоатация в пълно</w:t>
      </w:r>
      <w:r w:rsidR="004E4CF3"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0391">
        <w:rPr>
          <w:rFonts w:ascii="Times New Roman" w:hAnsi="Times New Roman" w:cs="Times New Roman"/>
          <w:sz w:val="24"/>
          <w:szCs w:val="24"/>
          <w:lang w:val="bg-BG"/>
        </w:rPr>
        <w:t>съответствие с разпоредбите на Регламент (ЕО) № 1370/2007 относно обществените</w:t>
      </w:r>
      <w:r w:rsidR="004E4CF3"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0391">
        <w:rPr>
          <w:rFonts w:ascii="Times New Roman" w:hAnsi="Times New Roman" w:cs="Times New Roman"/>
          <w:sz w:val="24"/>
          <w:szCs w:val="24"/>
          <w:lang w:val="bg-BG"/>
        </w:rPr>
        <w:t>услуги за пътнически превоз с железопътен и автомобилен транспорт.</w:t>
      </w:r>
    </w:p>
    <w:p w:rsidR="006B042B" w:rsidRPr="00F80391" w:rsidRDefault="006B042B" w:rsidP="00F02D2E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80391">
        <w:rPr>
          <w:rFonts w:ascii="Times New Roman" w:hAnsi="Times New Roman" w:cs="Times New Roman"/>
          <w:b/>
          <w:sz w:val="24"/>
          <w:szCs w:val="24"/>
          <w:lang w:val="bg-BG"/>
        </w:rPr>
        <w:t>Проучването трябва да съдържа план за възлагане на обществени поръчки за</w:t>
      </w:r>
      <w:r w:rsidR="004E4CF3" w:rsidRPr="00F8039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F80391">
        <w:rPr>
          <w:rFonts w:ascii="Times New Roman" w:hAnsi="Times New Roman" w:cs="Times New Roman"/>
          <w:b/>
          <w:sz w:val="24"/>
          <w:szCs w:val="24"/>
          <w:lang w:val="bg-BG"/>
        </w:rPr>
        <w:t>изпълнението на проекта</w:t>
      </w:r>
      <w:r w:rsidR="00E6736B" w:rsidRPr="00F8039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 технически спецификации на определените компоненти</w:t>
      </w:r>
      <w:r w:rsidRPr="00F80391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p w:rsidR="006B042B" w:rsidRPr="00F80391" w:rsidRDefault="006B042B" w:rsidP="00F02D2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80391">
        <w:rPr>
          <w:rFonts w:ascii="Times New Roman" w:hAnsi="Times New Roman" w:cs="Times New Roman"/>
          <w:sz w:val="24"/>
          <w:szCs w:val="24"/>
          <w:lang w:val="bg-BG"/>
        </w:rPr>
        <w:t>Основен и задължителен елемент на предпроектното проучване е екологичен анализ,</w:t>
      </w:r>
      <w:r w:rsidR="004E4CF3"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0391">
        <w:rPr>
          <w:rFonts w:ascii="Times New Roman" w:hAnsi="Times New Roman" w:cs="Times New Roman"/>
          <w:sz w:val="24"/>
          <w:szCs w:val="24"/>
          <w:lang w:val="bg-BG"/>
        </w:rPr>
        <w:t>вкл. и на нормативната база на европейско, национално и регионално ниво, в т.ч. и на</w:t>
      </w:r>
      <w:r w:rsidR="004E4CF3"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0391">
        <w:rPr>
          <w:rFonts w:ascii="Times New Roman" w:hAnsi="Times New Roman" w:cs="Times New Roman"/>
          <w:sz w:val="24"/>
          <w:szCs w:val="24"/>
          <w:lang w:val="bg-BG"/>
        </w:rPr>
        <w:t>Програмите за намаляване на замърсителите и достигане на установените норми</w:t>
      </w:r>
      <w:r w:rsidR="004E4CF3"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0391">
        <w:rPr>
          <w:rFonts w:ascii="Times New Roman" w:hAnsi="Times New Roman" w:cs="Times New Roman"/>
          <w:sz w:val="24"/>
          <w:szCs w:val="24"/>
          <w:lang w:val="bg-BG"/>
        </w:rPr>
        <w:t>съгласно Закона за чистотата на атмосферния въздух (за градовете, които имат</w:t>
      </w:r>
      <w:r w:rsidR="004E4CF3"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0391">
        <w:rPr>
          <w:rFonts w:ascii="Times New Roman" w:hAnsi="Times New Roman" w:cs="Times New Roman"/>
          <w:sz w:val="24"/>
          <w:szCs w:val="24"/>
          <w:lang w:val="bg-BG"/>
        </w:rPr>
        <w:t>разработени). Следва да се направи анализ на очакваното екологично въздействие от</w:t>
      </w:r>
      <w:r w:rsidR="004E4CF3"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0391">
        <w:rPr>
          <w:rFonts w:ascii="Times New Roman" w:hAnsi="Times New Roman" w:cs="Times New Roman"/>
          <w:sz w:val="24"/>
          <w:szCs w:val="24"/>
          <w:lang w:val="bg-BG"/>
        </w:rPr>
        <w:t>реализирането на всяка от предложените алтернативи за развитие и модернизация на</w:t>
      </w:r>
      <w:r w:rsidR="004E4CF3"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0391">
        <w:rPr>
          <w:rFonts w:ascii="Times New Roman" w:hAnsi="Times New Roman" w:cs="Times New Roman"/>
          <w:sz w:val="24"/>
          <w:szCs w:val="24"/>
          <w:lang w:val="bg-BG"/>
        </w:rPr>
        <w:t>градския транспорт, както и подробен екологичен анализ на избраната алтернатива.</w:t>
      </w:r>
    </w:p>
    <w:p w:rsidR="006B042B" w:rsidRPr="00F80391" w:rsidRDefault="002C5FA0" w:rsidP="00F02D2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Изпълнителя </w:t>
      </w:r>
      <w:r w:rsidR="006B042B"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трябва да </w:t>
      </w:r>
      <w:r w:rsidRPr="00F80391">
        <w:rPr>
          <w:rFonts w:ascii="Times New Roman" w:hAnsi="Times New Roman" w:cs="Times New Roman"/>
          <w:sz w:val="24"/>
          <w:szCs w:val="24"/>
          <w:lang w:val="bg-BG"/>
        </w:rPr>
        <w:t>се съобрази</w:t>
      </w:r>
      <w:r w:rsidR="006B042B"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 със съответните общински програми за опазване на</w:t>
      </w:r>
      <w:r w:rsidR="004E4CF3"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B042B" w:rsidRPr="00F80391">
        <w:rPr>
          <w:rFonts w:ascii="Times New Roman" w:hAnsi="Times New Roman" w:cs="Times New Roman"/>
          <w:sz w:val="24"/>
          <w:szCs w:val="24"/>
          <w:lang w:val="bg-BG"/>
        </w:rPr>
        <w:t>околната среда, и в частност - Общинските програми за намаляване на</w:t>
      </w:r>
      <w:r w:rsidR="004E4CF3"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B042B" w:rsidRPr="00F80391">
        <w:rPr>
          <w:rFonts w:ascii="Times New Roman" w:hAnsi="Times New Roman" w:cs="Times New Roman"/>
          <w:sz w:val="24"/>
          <w:szCs w:val="24"/>
          <w:lang w:val="bg-BG"/>
        </w:rPr>
        <w:t>замърсителите и достигане на установените норми (за общините, за които такива</w:t>
      </w:r>
      <w:r w:rsidR="004E4CF3"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B042B" w:rsidRPr="00F80391">
        <w:rPr>
          <w:rFonts w:ascii="Times New Roman" w:hAnsi="Times New Roman" w:cs="Times New Roman"/>
          <w:sz w:val="24"/>
          <w:szCs w:val="24"/>
          <w:lang w:val="bg-BG"/>
        </w:rPr>
        <w:t>програми се изпълняват), разработени съгласно Закона за чистотата на атмосферния</w:t>
      </w:r>
      <w:r w:rsidR="004E4CF3"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B042B" w:rsidRPr="00F80391">
        <w:rPr>
          <w:rFonts w:ascii="Times New Roman" w:hAnsi="Times New Roman" w:cs="Times New Roman"/>
          <w:sz w:val="24"/>
          <w:szCs w:val="24"/>
          <w:lang w:val="bg-BG"/>
        </w:rPr>
        <w:t>въздух и подзаконовите нормативни документи, транспониращи изцяло Директива</w:t>
      </w:r>
      <w:r w:rsidR="004E4CF3"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B042B" w:rsidRPr="00F80391">
        <w:rPr>
          <w:rFonts w:ascii="Times New Roman" w:hAnsi="Times New Roman" w:cs="Times New Roman"/>
          <w:sz w:val="24"/>
          <w:szCs w:val="24"/>
          <w:lang w:val="bg-BG"/>
        </w:rPr>
        <w:t>2008/50/ЕО относно качеството на атмосферния въздух и за по-чист въздух за Европа.</w:t>
      </w:r>
    </w:p>
    <w:p w:rsidR="006B042B" w:rsidRPr="00F80391" w:rsidRDefault="00D262A7" w:rsidP="002C5FA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3.2. </w:t>
      </w:r>
      <w:r w:rsidR="009E5331"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="006B042B"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проекти с очаквана стойност на разходите </w:t>
      </w:r>
      <w:r w:rsidR="002C5FA0" w:rsidRPr="00F80391">
        <w:rPr>
          <w:rFonts w:ascii="Times New Roman" w:hAnsi="Times New Roman" w:cs="Times New Roman"/>
          <w:sz w:val="24"/>
          <w:szCs w:val="24"/>
          <w:lang w:val="bg-BG"/>
        </w:rPr>
        <w:t>над</w:t>
      </w:r>
      <w:r w:rsidR="006B042B"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B042B" w:rsidRPr="00F80391">
        <w:rPr>
          <w:rFonts w:ascii="Times New Roman" w:hAnsi="Times New Roman" w:cs="Times New Roman"/>
          <w:b/>
          <w:sz w:val="24"/>
          <w:szCs w:val="24"/>
          <w:lang w:val="bg-BG"/>
        </w:rPr>
        <w:t>10 000 000</w:t>
      </w:r>
      <w:r w:rsidR="006B042B"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 лв. </w:t>
      </w:r>
      <w:r w:rsidR="002C5FA0"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се изготвя </w:t>
      </w:r>
      <w:r w:rsidR="006B042B" w:rsidRPr="00F80391">
        <w:rPr>
          <w:rFonts w:ascii="Times New Roman" w:hAnsi="Times New Roman" w:cs="Times New Roman"/>
          <w:b/>
          <w:sz w:val="24"/>
          <w:szCs w:val="24"/>
          <w:lang w:val="bg-BG"/>
        </w:rPr>
        <w:t>Анализ разходи-ползи и финансов анализ</w:t>
      </w:r>
      <w:r w:rsidR="006B042B" w:rsidRPr="00F80391">
        <w:rPr>
          <w:rFonts w:ascii="Times New Roman" w:hAnsi="Times New Roman" w:cs="Times New Roman"/>
          <w:sz w:val="24"/>
          <w:szCs w:val="24"/>
          <w:lang w:val="bg-BG"/>
        </w:rPr>
        <w:t>, в съответствие с насоките на ЕК за изготвяне на Анализ</w:t>
      </w:r>
      <w:r w:rsidR="004E4CF3"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B042B" w:rsidRPr="00F80391">
        <w:rPr>
          <w:rFonts w:ascii="Times New Roman" w:hAnsi="Times New Roman" w:cs="Times New Roman"/>
          <w:sz w:val="24"/>
          <w:szCs w:val="24"/>
          <w:lang w:val="bg-BG"/>
        </w:rPr>
        <w:t>разходи-ползи на инвестиционни проекти, п</w:t>
      </w:r>
      <w:r w:rsidR="002C5FA0"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убликувани на следната интернет </w:t>
      </w:r>
      <w:r w:rsidR="006B042B" w:rsidRPr="00F80391">
        <w:rPr>
          <w:rFonts w:ascii="Times New Roman" w:hAnsi="Times New Roman" w:cs="Times New Roman"/>
          <w:sz w:val="24"/>
          <w:szCs w:val="24"/>
          <w:lang w:val="bg-BG"/>
        </w:rPr>
        <w:t>страница:</w:t>
      </w:r>
      <w:hyperlink r:id="rId8" w:history="1">
        <w:r w:rsidR="002C5FA0" w:rsidRPr="00F8039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</w:t>
        </w:r>
        <w:r w:rsidR="002C5FA0" w:rsidRPr="00F80391">
          <w:rPr>
            <w:rStyle w:val="a6"/>
            <w:rFonts w:ascii="Times New Roman" w:hAnsi="Times New Roman" w:cs="Times New Roman"/>
            <w:sz w:val="24"/>
            <w:szCs w:val="24"/>
            <w:lang w:val="bg-BG"/>
          </w:rPr>
          <w:t>ttp://ec.europa.eu/regional_policy/sources/docgener/studies/pdf/cba_guide.pdf</w:t>
        </w:r>
      </w:hyperlink>
      <w:r w:rsidR="006B042B" w:rsidRPr="00F80391">
        <w:rPr>
          <w:rFonts w:ascii="Times New Roman" w:hAnsi="Times New Roman" w:cs="Times New Roman"/>
          <w:sz w:val="24"/>
          <w:szCs w:val="24"/>
          <w:lang w:val="bg-BG"/>
        </w:rPr>
        <w:t>;</w:t>
      </w:r>
      <w:r w:rsidR="002C5FA0" w:rsidRPr="00F80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042B" w:rsidRPr="00F80391">
        <w:rPr>
          <w:rFonts w:ascii="Times New Roman" w:hAnsi="Times New Roman" w:cs="Times New Roman"/>
          <w:sz w:val="24"/>
          <w:szCs w:val="24"/>
          <w:lang w:val="bg-BG"/>
        </w:rPr>
        <w:lastRenderedPageBreak/>
        <w:t>Указания за</w:t>
      </w:r>
      <w:r w:rsidR="00C02E10"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B042B" w:rsidRPr="00F80391">
        <w:rPr>
          <w:rFonts w:ascii="Times New Roman" w:hAnsi="Times New Roman" w:cs="Times New Roman"/>
          <w:sz w:val="24"/>
          <w:szCs w:val="24"/>
          <w:lang w:val="bg-BG"/>
        </w:rPr>
        <w:t>изготвяне на АРП в транспортния сектор“ (МФ, МТИТС, НКЖИ, „Метрополитен“ ЕАД,</w:t>
      </w:r>
      <w:r w:rsidR="00C02E10"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B042B" w:rsidRPr="00F80391">
        <w:rPr>
          <w:rFonts w:ascii="Times New Roman" w:hAnsi="Times New Roman" w:cs="Times New Roman"/>
          <w:sz w:val="24"/>
          <w:szCs w:val="24"/>
          <w:lang w:val="bg-BG"/>
        </w:rPr>
        <w:t>АПИ).</w:t>
      </w:r>
    </w:p>
    <w:p w:rsidR="002C5FA0" w:rsidRPr="00F80391" w:rsidRDefault="00E6736B" w:rsidP="002C5FA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80391">
        <w:rPr>
          <w:rFonts w:ascii="Times New Roman" w:hAnsi="Times New Roman" w:cs="Times New Roman"/>
          <w:sz w:val="24"/>
          <w:szCs w:val="24"/>
          <w:lang w:val="bg-BG"/>
        </w:rPr>
        <w:t>Финансовия анализ трябва да осигури основната информация относно входящите и изходящите финансови ресурси, тяхната стойност и цялостната времева структура на приходите и разходите.</w:t>
      </w:r>
    </w:p>
    <w:p w:rsidR="006B042B" w:rsidRPr="00F80391" w:rsidRDefault="006B042B" w:rsidP="009E533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Предназначението на </w:t>
      </w:r>
      <w:r w:rsidRPr="00F80391">
        <w:rPr>
          <w:rFonts w:ascii="Times New Roman" w:hAnsi="Times New Roman" w:cs="Times New Roman"/>
          <w:b/>
          <w:sz w:val="24"/>
          <w:szCs w:val="24"/>
          <w:lang w:val="bg-BG"/>
        </w:rPr>
        <w:t>анализа на разходите и ползите</w:t>
      </w:r>
      <w:r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 е да идентифицира и даде</w:t>
      </w:r>
      <w:r w:rsidR="00C02E10"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0391">
        <w:rPr>
          <w:rFonts w:ascii="Times New Roman" w:hAnsi="Times New Roman" w:cs="Times New Roman"/>
          <w:sz w:val="24"/>
          <w:szCs w:val="24"/>
          <w:lang w:val="bg-BG"/>
        </w:rPr>
        <w:t>финансово изражение на всички възможни въздействия (финансово, икономическо,</w:t>
      </w:r>
      <w:r w:rsidR="00C02E10"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0391">
        <w:rPr>
          <w:rFonts w:ascii="Times New Roman" w:hAnsi="Times New Roman" w:cs="Times New Roman"/>
          <w:sz w:val="24"/>
          <w:szCs w:val="24"/>
          <w:lang w:val="bg-BG"/>
        </w:rPr>
        <w:t>социално, екологично и др.), с цел определяне на разходите и ползите от проекта.</w:t>
      </w:r>
    </w:p>
    <w:p w:rsidR="00D262A7" w:rsidRPr="00F80391" w:rsidRDefault="006B042B" w:rsidP="00D262A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80391">
        <w:rPr>
          <w:rFonts w:ascii="Times New Roman" w:hAnsi="Times New Roman" w:cs="Times New Roman"/>
          <w:sz w:val="24"/>
          <w:szCs w:val="24"/>
          <w:lang w:val="bg-BG"/>
        </w:rPr>
        <w:t>Разходите и ползите се оценяват по метода „с нарастваща стойност” (incremental</w:t>
      </w:r>
      <w:r w:rsidR="00C02E10"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0391">
        <w:rPr>
          <w:rFonts w:ascii="Times New Roman" w:hAnsi="Times New Roman" w:cs="Times New Roman"/>
          <w:sz w:val="24"/>
          <w:szCs w:val="24"/>
          <w:lang w:val="bg-BG"/>
        </w:rPr>
        <w:t>approach), като се разглежда разликата между сценария, включващ изпълнението на</w:t>
      </w:r>
      <w:r w:rsidR="00C02E10"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0391">
        <w:rPr>
          <w:rFonts w:ascii="Times New Roman" w:hAnsi="Times New Roman" w:cs="Times New Roman"/>
          <w:sz w:val="24"/>
          <w:szCs w:val="24"/>
          <w:lang w:val="bg-BG"/>
        </w:rPr>
        <w:t>проекта („с проект”), и алтернативен сценарий, при който проектът не се изпълнява, („без</w:t>
      </w:r>
      <w:r w:rsidR="00C02E10"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262A7" w:rsidRPr="00F80391">
        <w:rPr>
          <w:rFonts w:ascii="Times New Roman" w:hAnsi="Times New Roman" w:cs="Times New Roman"/>
          <w:sz w:val="24"/>
          <w:szCs w:val="24"/>
          <w:lang w:val="bg-BG"/>
        </w:rPr>
        <w:t>проект”).</w:t>
      </w:r>
    </w:p>
    <w:p w:rsidR="006B042B" w:rsidRPr="00F80391" w:rsidRDefault="006B042B" w:rsidP="00D262A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80391">
        <w:rPr>
          <w:rFonts w:ascii="Times New Roman" w:hAnsi="Times New Roman" w:cs="Times New Roman"/>
          <w:sz w:val="24"/>
          <w:szCs w:val="24"/>
          <w:lang w:val="bg-BG"/>
        </w:rPr>
        <w:t>Основната цел на анализа е да докаже, че в рамките на целите на</w:t>
      </w:r>
      <w:r w:rsidR="00C02E10"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0391">
        <w:rPr>
          <w:rFonts w:ascii="Times New Roman" w:hAnsi="Times New Roman" w:cs="Times New Roman"/>
          <w:sz w:val="24"/>
          <w:szCs w:val="24"/>
          <w:lang w:val="bg-BG"/>
        </w:rPr>
        <w:t>регионалната политика на ЕС проектът едновременно е целесъобразен от икономическа</w:t>
      </w:r>
      <w:r w:rsidR="00C02E10"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0391">
        <w:rPr>
          <w:rFonts w:ascii="Times New Roman" w:hAnsi="Times New Roman" w:cs="Times New Roman"/>
          <w:sz w:val="24"/>
          <w:szCs w:val="24"/>
          <w:lang w:val="bg-BG"/>
        </w:rPr>
        <w:t>гледна точка (икономическа нетна настояща стойност</w:t>
      </w:r>
      <w:r w:rsidR="00C02E10"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 &gt; 0) и се нуждае от финансовия </w:t>
      </w:r>
      <w:r w:rsidRPr="00F80391">
        <w:rPr>
          <w:rFonts w:ascii="Times New Roman" w:hAnsi="Times New Roman" w:cs="Times New Roman"/>
          <w:sz w:val="24"/>
          <w:szCs w:val="24"/>
          <w:lang w:val="bg-BG"/>
        </w:rPr>
        <w:t>принос от Фондовете, за да бъде финансово изпълним (финансова нетна настояща</w:t>
      </w:r>
      <w:r w:rsidR="00C02E10"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0391">
        <w:rPr>
          <w:rFonts w:ascii="Times New Roman" w:hAnsi="Times New Roman" w:cs="Times New Roman"/>
          <w:sz w:val="24"/>
          <w:szCs w:val="24"/>
          <w:lang w:val="bg-BG"/>
        </w:rPr>
        <w:t>стойност без финансов принос от ЕС &lt; 0).</w:t>
      </w:r>
    </w:p>
    <w:p w:rsidR="006B042B" w:rsidRPr="00F80391" w:rsidRDefault="006B042B" w:rsidP="00D262A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80391">
        <w:rPr>
          <w:rFonts w:ascii="Times New Roman" w:hAnsi="Times New Roman" w:cs="Times New Roman"/>
          <w:sz w:val="24"/>
          <w:szCs w:val="24"/>
          <w:lang w:val="bg-BG"/>
        </w:rPr>
        <w:t>В рамките на анализа на разходите и ползите следва да бъде определено нивото на</w:t>
      </w:r>
      <w:r w:rsidR="00C02E10"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0391">
        <w:rPr>
          <w:rFonts w:ascii="Times New Roman" w:hAnsi="Times New Roman" w:cs="Times New Roman"/>
          <w:sz w:val="24"/>
          <w:szCs w:val="24"/>
          <w:lang w:val="bg-BG"/>
        </w:rPr>
        <w:t>финансов недостиг на проекта. На базата на нивото на финансовия недостиг се</w:t>
      </w:r>
      <w:r w:rsidR="00C02E10"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0391">
        <w:rPr>
          <w:rFonts w:ascii="Times New Roman" w:hAnsi="Times New Roman" w:cs="Times New Roman"/>
          <w:sz w:val="24"/>
          <w:szCs w:val="24"/>
          <w:lang w:val="bg-BG"/>
        </w:rPr>
        <w:t>изчислява размерът на БФП като процент от допустимите разходи по проекта.</w:t>
      </w:r>
    </w:p>
    <w:p w:rsidR="006B042B" w:rsidRPr="00F80391" w:rsidRDefault="006B042B" w:rsidP="002C5FA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80391">
        <w:rPr>
          <w:rFonts w:ascii="Times New Roman" w:hAnsi="Times New Roman" w:cs="Times New Roman"/>
          <w:sz w:val="24"/>
          <w:szCs w:val="24"/>
          <w:lang w:val="bg-BG"/>
        </w:rPr>
        <w:t>При анализа на финансовата устойчивост на инвестицията следва да се покажат</w:t>
      </w:r>
      <w:r w:rsidR="00C02E10"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0391">
        <w:rPr>
          <w:rFonts w:ascii="Times New Roman" w:hAnsi="Times New Roman" w:cs="Times New Roman"/>
          <w:sz w:val="24"/>
          <w:szCs w:val="24"/>
          <w:lang w:val="bg-BG"/>
        </w:rPr>
        <w:t>източниците на финансиране на проекта, в това число на частта от инвестиционните</w:t>
      </w:r>
      <w:r w:rsidR="00C02E10"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0391">
        <w:rPr>
          <w:rFonts w:ascii="Times New Roman" w:hAnsi="Times New Roman" w:cs="Times New Roman"/>
          <w:sz w:val="24"/>
          <w:szCs w:val="24"/>
          <w:lang w:val="bg-BG"/>
        </w:rPr>
        <w:t>разходи (допустими или недопустими), които няма да бъдат финансирани от ОПРР.</w:t>
      </w:r>
    </w:p>
    <w:p w:rsidR="006B042B" w:rsidRPr="00F80391" w:rsidRDefault="006B042B" w:rsidP="002C5FA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80391">
        <w:rPr>
          <w:rFonts w:ascii="Times New Roman" w:hAnsi="Times New Roman" w:cs="Times New Roman"/>
          <w:sz w:val="24"/>
          <w:szCs w:val="24"/>
          <w:lang w:val="bg-BG"/>
        </w:rPr>
        <w:t>Финансовите прогнози следва да покажат финансовата устойчивост на проекта,</w:t>
      </w:r>
      <w:r w:rsidR="00C02E10"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0391">
        <w:rPr>
          <w:rFonts w:ascii="Times New Roman" w:hAnsi="Times New Roman" w:cs="Times New Roman"/>
          <w:sz w:val="24"/>
          <w:szCs w:val="24"/>
          <w:lang w:val="bg-BG"/>
        </w:rPr>
        <w:t>което означава наличието на положителен кумулативен паричен поток за всяка</w:t>
      </w:r>
      <w:r w:rsidR="00C02E10"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0391">
        <w:rPr>
          <w:rFonts w:ascii="Times New Roman" w:hAnsi="Times New Roman" w:cs="Times New Roman"/>
          <w:sz w:val="24"/>
          <w:szCs w:val="24"/>
          <w:lang w:val="bg-BG"/>
        </w:rPr>
        <w:t>година от времевия хоризонт.</w:t>
      </w:r>
    </w:p>
    <w:p w:rsidR="006B042B" w:rsidRPr="00F80391" w:rsidRDefault="006B042B" w:rsidP="007A3A5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80391">
        <w:rPr>
          <w:rFonts w:ascii="Times New Roman" w:hAnsi="Times New Roman" w:cs="Times New Roman"/>
          <w:sz w:val="24"/>
          <w:szCs w:val="24"/>
          <w:lang w:val="bg-BG"/>
        </w:rPr>
        <w:t>Следва да се има предвид, че при оценката на проектното предложение</w:t>
      </w:r>
      <w:r w:rsidR="000C559A" w:rsidRPr="00F80391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7252A9"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 от ОП Региони в растеж“ 2014-2020 г,</w:t>
      </w:r>
      <w:r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C559A" w:rsidRPr="00F80391">
        <w:rPr>
          <w:rFonts w:ascii="Times New Roman" w:hAnsi="Times New Roman" w:cs="Times New Roman"/>
          <w:sz w:val="24"/>
          <w:szCs w:val="24"/>
          <w:lang w:val="bg-BG"/>
        </w:rPr>
        <w:t>ще</w:t>
      </w:r>
      <w:r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 се</w:t>
      </w:r>
      <w:r w:rsidR="00C02E10"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обърне особено внимание на способността на кандидата </w:t>
      </w:r>
      <w:r w:rsidR="000C559A"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(Община Плевен в партньорство с </w:t>
      </w:r>
      <w:r w:rsidR="007A3A53" w:rsidRPr="00F80391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0C559A" w:rsidRPr="00F80391">
        <w:rPr>
          <w:rFonts w:ascii="Times New Roman" w:hAnsi="Times New Roman" w:cs="Times New Roman"/>
          <w:sz w:val="24"/>
          <w:szCs w:val="24"/>
          <w:lang w:val="bg-BG"/>
        </w:rPr>
        <w:t>Тролейбусен транспорт</w:t>
      </w:r>
      <w:r w:rsidR="007A3A53" w:rsidRPr="00F80391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0C559A"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 ЕООД</w:t>
      </w:r>
      <w:r w:rsidR="007A3A53"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 Плевен</w:t>
      </w:r>
      <w:r w:rsidR="000C559A"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) </w:t>
      </w:r>
      <w:r w:rsidRPr="00F80391">
        <w:rPr>
          <w:rFonts w:ascii="Times New Roman" w:hAnsi="Times New Roman" w:cs="Times New Roman"/>
          <w:sz w:val="24"/>
          <w:szCs w:val="24"/>
          <w:lang w:val="bg-BG"/>
        </w:rPr>
        <w:t>да гарантира, че изградената</w:t>
      </w:r>
      <w:r w:rsidR="00C02E10"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0391">
        <w:rPr>
          <w:rFonts w:ascii="Times New Roman" w:hAnsi="Times New Roman" w:cs="Times New Roman"/>
          <w:sz w:val="24"/>
          <w:szCs w:val="24"/>
          <w:lang w:val="bg-BG"/>
        </w:rPr>
        <w:t>система за обществен градски транспорт ще бъде самоиздържаща се след края на</w:t>
      </w:r>
      <w:r w:rsidR="00C02E10"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0391">
        <w:rPr>
          <w:rFonts w:ascii="Times New Roman" w:hAnsi="Times New Roman" w:cs="Times New Roman"/>
          <w:sz w:val="24"/>
          <w:szCs w:val="24"/>
          <w:lang w:val="bg-BG"/>
        </w:rPr>
        <w:t>проекта и че приходи, генерирани при нейната експлоатация, компенсациите за</w:t>
      </w:r>
      <w:r w:rsidR="00C02E10"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0391">
        <w:rPr>
          <w:rFonts w:ascii="Times New Roman" w:hAnsi="Times New Roman" w:cs="Times New Roman"/>
          <w:sz w:val="24"/>
          <w:szCs w:val="24"/>
          <w:lang w:val="bg-BG"/>
        </w:rPr>
        <w:t>преференциални пътувания и субсидиите за неефективни линии на градския транспорт,</w:t>
      </w:r>
      <w:r w:rsidR="00C02E10"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0391">
        <w:rPr>
          <w:rFonts w:ascii="Times New Roman" w:hAnsi="Times New Roman" w:cs="Times New Roman"/>
          <w:sz w:val="24"/>
          <w:szCs w:val="24"/>
          <w:lang w:val="bg-BG"/>
        </w:rPr>
        <w:t>трябва да бъдат достатъчни, за да гарантират покриване на експлоатационните разходи,</w:t>
      </w:r>
      <w:r w:rsidR="00C02E10"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0391">
        <w:rPr>
          <w:rFonts w:ascii="Times New Roman" w:hAnsi="Times New Roman" w:cs="Times New Roman"/>
          <w:sz w:val="24"/>
          <w:szCs w:val="24"/>
          <w:lang w:val="bg-BG"/>
        </w:rPr>
        <w:t>разходите за поддръжка, необходимите последващи разходи за подмяна на активите</w:t>
      </w:r>
      <w:r w:rsidR="00C02E10"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0391">
        <w:rPr>
          <w:rFonts w:ascii="Times New Roman" w:hAnsi="Times New Roman" w:cs="Times New Roman"/>
          <w:sz w:val="24"/>
          <w:szCs w:val="24"/>
          <w:lang w:val="bg-BG"/>
        </w:rPr>
        <w:t>през целия времеви хоризонт, както и обслужването на заемите, ако се предвиждат</w:t>
      </w:r>
      <w:r w:rsidR="00C02E10"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0391">
        <w:rPr>
          <w:rFonts w:ascii="Times New Roman" w:hAnsi="Times New Roman" w:cs="Times New Roman"/>
          <w:sz w:val="24"/>
          <w:szCs w:val="24"/>
          <w:lang w:val="bg-BG"/>
        </w:rPr>
        <w:t>такива за финансиране на проекта.</w:t>
      </w:r>
    </w:p>
    <w:p w:rsidR="006B042B" w:rsidRPr="00F80391" w:rsidRDefault="007A3A53" w:rsidP="007A3A5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В указанията на ОП РР 2014-2020 г. е разписано, че е допустимо </w:t>
      </w:r>
      <w:r w:rsidR="006B042B" w:rsidRPr="00F80391">
        <w:rPr>
          <w:rFonts w:ascii="Times New Roman" w:hAnsi="Times New Roman" w:cs="Times New Roman"/>
          <w:sz w:val="24"/>
          <w:szCs w:val="24"/>
          <w:lang w:val="bg-BG"/>
        </w:rPr>
        <w:t>наличие на временен недостиг на средства в отделни години от времевия</w:t>
      </w:r>
      <w:r w:rsidR="00C02E10"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B042B" w:rsidRPr="00F80391">
        <w:rPr>
          <w:rFonts w:ascii="Times New Roman" w:hAnsi="Times New Roman" w:cs="Times New Roman"/>
          <w:sz w:val="24"/>
          <w:szCs w:val="24"/>
          <w:lang w:val="bg-BG"/>
        </w:rPr>
        <w:t>хоризонт, който може да се покрива с оборотен кредит или субсидии от страна на</w:t>
      </w:r>
      <w:r w:rsidR="00C02E10"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B042B" w:rsidRPr="00F80391">
        <w:rPr>
          <w:rFonts w:ascii="Times New Roman" w:hAnsi="Times New Roman" w:cs="Times New Roman"/>
          <w:sz w:val="24"/>
          <w:szCs w:val="24"/>
          <w:lang w:val="bg-BG"/>
        </w:rPr>
        <w:t>общината или държавата. В този случай следва да се представят доказателства за</w:t>
      </w:r>
      <w:r w:rsidR="00C02E10"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B042B" w:rsidRPr="00F80391">
        <w:rPr>
          <w:rFonts w:ascii="Times New Roman" w:hAnsi="Times New Roman" w:cs="Times New Roman"/>
          <w:sz w:val="24"/>
          <w:szCs w:val="24"/>
          <w:lang w:val="bg-BG"/>
        </w:rPr>
        <w:t>възможност за осигуряване на такива източници за финансиране на временния</w:t>
      </w:r>
      <w:r w:rsidR="00C02E10"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B042B" w:rsidRPr="00F80391">
        <w:rPr>
          <w:rFonts w:ascii="Times New Roman" w:hAnsi="Times New Roman" w:cs="Times New Roman"/>
          <w:sz w:val="24"/>
          <w:szCs w:val="24"/>
          <w:lang w:val="bg-BG"/>
        </w:rPr>
        <w:t>недостиг.</w:t>
      </w:r>
    </w:p>
    <w:p w:rsidR="006B042B" w:rsidRPr="00F80391" w:rsidRDefault="006B042B" w:rsidP="009E533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80391">
        <w:rPr>
          <w:rFonts w:ascii="Times New Roman" w:hAnsi="Times New Roman" w:cs="Times New Roman"/>
          <w:sz w:val="24"/>
          <w:szCs w:val="24"/>
          <w:lang w:val="bg-BG"/>
        </w:rPr>
        <w:t>Същевременно, друг важен елемент на финансовия анализ е гарантирането на</w:t>
      </w:r>
      <w:r w:rsidR="00C02E10"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0391">
        <w:rPr>
          <w:rFonts w:ascii="Times New Roman" w:hAnsi="Times New Roman" w:cs="Times New Roman"/>
          <w:sz w:val="24"/>
          <w:szCs w:val="24"/>
          <w:lang w:val="bg-BG"/>
        </w:rPr>
        <w:t>„социална поносимост” на изградената инфраструктура, т.е. цената на услугата следва</w:t>
      </w:r>
      <w:r w:rsidR="00C02E10"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0391">
        <w:rPr>
          <w:rFonts w:ascii="Times New Roman" w:hAnsi="Times New Roman" w:cs="Times New Roman"/>
          <w:sz w:val="24"/>
          <w:szCs w:val="24"/>
          <w:lang w:val="bg-BG"/>
        </w:rPr>
        <w:t>да бъде на социално приемливо ниво.</w:t>
      </w:r>
    </w:p>
    <w:p w:rsidR="006B042B" w:rsidRPr="00F80391" w:rsidRDefault="006B042B" w:rsidP="009E533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80391">
        <w:rPr>
          <w:rFonts w:ascii="Times New Roman" w:hAnsi="Times New Roman" w:cs="Times New Roman"/>
          <w:sz w:val="24"/>
          <w:szCs w:val="24"/>
          <w:lang w:val="bg-BG"/>
        </w:rPr>
        <w:t>Всички таблици и изчисления, включени в анализа разходи-ползи, трябва да се</w:t>
      </w:r>
      <w:r w:rsidR="00C02E10"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0391">
        <w:rPr>
          <w:rFonts w:ascii="Times New Roman" w:hAnsi="Times New Roman" w:cs="Times New Roman"/>
          <w:sz w:val="24"/>
          <w:szCs w:val="24"/>
          <w:lang w:val="bg-BG"/>
        </w:rPr>
        <w:t>представят във формат Excel, позволяващ да се проследи логиката на</w:t>
      </w:r>
      <w:r w:rsidR="00C02E10"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0391">
        <w:rPr>
          <w:rFonts w:ascii="Times New Roman" w:hAnsi="Times New Roman" w:cs="Times New Roman"/>
          <w:sz w:val="24"/>
          <w:szCs w:val="24"/>
          <w:lang w:val="bg-BG"/>
        </w:rPr>
        <w:t>направените изчисления.</w:t>
      </w:r>
    </w:p>
    <w:p w:rsidR="006B042B" w:rsidRPr="00F80391" w:rsidRDefault="006B042B" w:rsidP="009E533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80391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Представената информация (като отделни таблици в рамките на един електронен файл</w:t>
      </w:r>
      <w:r w:rsidR="00C02E10" w:rsidRPr="00F8039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F80391">
        <w:rPr>
          <w:rFonts w:ascii="Times New Roman" w:hAnsi="Times New Roman" w:cs="Times New Roman"/>
          <w:b/>
          <w:sz w:val="24"/>
          <w:szCs w:val="24"/>
          <w:lang w:val="bg-BG"/>
        </w:rPr>
        <w:t>във формат Excel и като отделни подточки от текста на предпроектното проучване)</w:t>
      </w:r>
      <w:r w:rsidR="00C02E10" w:rsidRPr="00F8039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F80391">
        <w:rPr>
          <w:rFonts w:ascii="Times New Roman" w:hAnsi="Times New Roman" w:cs="Times New Roman"/>
          <w:b/>
          <w:sz w:val="24"/>
          <w:szCs w:val="24"/>
          <w:lang w:val="bg-BG"/>
        </w:rPr>
        <w:t>следва да съдържа най-малко следните раздели:</w:t>
      </w:r>
    </w:p>
    <w:p w:rsidR="006B042B" w:rsidRPr="00F80391" w:rsidRDefault="006B042B" w:rsidP="007A3A53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80391">
        <w:rPr>
          <w:rFonts w:ascii="Times New Roman" w:hAnsi="Times New Roman" w:cs="Times New Roman"/>
          <w:sz w:val="24"/>
          <w:szCs w:val="24"/>
          <w:lang w:val="bg-BG"/>
        </w:rPr>
        <w:t>Общи допускания с базовите входни параметри, които се използват във финансовия</w:t>
      </w:r>
      <w:r w:rsidR="00C02E10"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0391">
        <w:rPr>
          <w:rFonts w:ascii="Times New Roman" w:hAnsi="Times New Roman" w:cs="Times New Roman"/>
          <w:sz w:val="24"/>
          <w:szCs w:val="24"/>
          <w:lang w:val="bg-BG"/>
        </w:rPr>
        <w:t>и икономическия анализ, като източниците на тези допускания следва да бъдат ясно</w:t>
      </w:r>
      <w:r w:rsidR="00C02E10"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0391">
        <w:rPr>
          <w:rFonts w:ascii="Times New Roman" w:hAnsi="Times New Roman" w:cs="Times New Roman"/>
          <w:sz w:val="24"/>
          <w:szCs w:val="24"/>
          <w:lang w:val="bg-BG"/>
        </w:rPr>
        <w:t>указани;</w:t>
      </w:r>
    </w:p>
    <w:p w:rsidR="006B042B" w:rsidRPr="00F80391" w:rsidRDefault="006B042B" w:rsidP="007A3A53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80391">
        <w:rPr>
          <w:rFonts w:ascii="Times New Roman" w:hAnsi="Times New Roman" w:cs="Times New Roman"/>
          <w:sz w:val="24"/>
          <w:szCs w:val="24"/>
          <w:lang w:val="bg-BG"/>
        </w:rPr>
        <w:t>Резултати от анализа на търсенето и транспортното моделиране;</w:t>
      </w:r>
    </w:p>
    <w:p w:rsidR="007A3A53" w:rsidRPr="00F80391" w:rsidRDefault="006B042B" w:rsidP="007A3A53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80391">
        <w:rPr>
          <w:rFonts w:ascii="Times New Roman" w:hAnsi="Times New Roman" w:cs="Times New Roman"/>
          <w:sz w:val="24"/>
          <w:szCs w:val="24"/>
          <w:lang w:val="bg-BG"/>
        </w:rPr>
        <w:t>Детайлна разбивка на инвестиционните разходи по проекта (включително използвана</w:t>
      </w:r>
      <w:r w:rsidR="00C02E10"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0391">
        <w:rPr>
          <w:rFonts w:ascii="Times New Roman" w:hAnsi="Times New Roman" w:cs="Times New Roman"/>
          <w:sz w:val="24"/>
          <w:szCs w:val="24"/>
          <w:lang w:val="bg-BG"/>
        </w:rPr>
        <w:t>валута, единична стойност, количество, обща стойност без и със ДДС);</w:t>
      </w:r>
    </w:p>
    <w:p w:rsidR="007A3A53" w:rsidRPr="00F80391" w:rsidRDefault="006B042B" w:rsidP="007A3A53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80391">
        <w:rPr>
          <w:rFonts w:ascii="Times New Roman" w:hAnsi="Times New Roman" w:cs="Times New Roman"/>
          <w:sz w:val="24"/>
          <w:szCs w:val="24"/>
          <w:lang w:val="bg-BG"/>
        </w:rPr>
        <w:t>Подробна разбивка на оперативните разходи и приходи във вариантите „без проект“ и</w:t>
      </w:r>
      <w:r w:rsidR="00C02E10"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0391">
        <w:rPr>
          <w:rFonts w:ascii="Times New Roman" w:hAnsi="Times New Roman" w:cs="Times New Roman"/>
          <w:sz w:val="24"/>
          <w:szCs w:val="24"/>
          <w:lang w:val="bg-BG"/>
        </w:rPr>
        <w:t>„със проект“, които да се основават на действителна информация от Отчетите за</w:t>
      </w:r>
      <w:r w:rsidR="00C02E10"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A3A53" w:rsidRPr="00F80391">
        <w:rPr>
          <w:rFonts w:ascii="Times New Roman" w:hAnsi="Times New Roman" w:cs="Times New Roman"/>
          <w:sz w:val="24"/>
          <w:szCs w:val="24"/>
          <w:lang w:val="bg-BG"/>
        </w:rPr>
        <w:t>приходи и разходи на превозвача;</w:t>
      </w:r>
    </w:p>
    <w:p w:rsidR="007A3A53" w:rsidRPr="00F80391" w:rsidRDefault="006B042B" w:rsidP="007A3A53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80391">
        <w:rPr>
          <w:rFonts w:ascii="Times New Roman" w:hAnsi="Times New Roman" w:cs="Times New Roman"/>
          <w:sz w:val="24"/>
          <w:szCs w:val="24"/>
          <w:lang w:val="bg-BG"/>
        </w:rPr>
        <w:t>Финансов анализ, базиран на прилагането на инкрементален подход: изчисляване на</w:t>
      </w:r>
      <w:r w:rsidR="00C02E10"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0391">
        <w:rPr>
          <w:rFonts w:ascii="Times New Roman" w:hAnsi="Times New Roman" w:cs="Times New Roman"/>
          <w:sz w:val="24"/>
          <w:szCs w:val="24"/>
          <w:lang w:val="bg-BG"/>
        </w:rPr>
        <w:t>показателите FNPV/C, FIRR/C, FNPV/К, FIRR/К, нивото на финансовия недостиг;</w:t>
      </w:r>
    </w:p>
    <w:p w:rsidR="007A3A53" w:rsidRPr="00F80391" w:rsidRDefault="006B042B" w:rsidP="007A3A53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80391">
        <w:rPr>
          <w:rFonts w:ascii="Times New Roman" w:hAnsi="Times New Roman" w:cs="Times New Roman"/>
          <w:sz w:val="24"/>
          <w:szCs w:val="24"/>
          <w:lang w:val="bg-BG"/>
        </w:rPr>
        <w:t>Финансова устойчивост на проекта през годините на неговото изпълнение. Когато</w:t>
      </w:r>
      <w:r w:rsidR="00C02E10"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0391">
        <w:rPr>
          <w:rFonts w:ascii="Times New Roman" w:hAnsi="Times New Roman" w:cs="Times New Roman"/>
          <w:sz w:val="24"/>
          <w:szCs w:val="24"/>
          <w:lang w:val="bg-BG"/>
        </w:rPr>
        <w:t>собственикът и операторът на инфраструктурата не са едно и също лице, следва да</w:t>
      </w:r>
      <w:r w:rsidR="00C02E10"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0391">
        <w:rPr>
          <w:rFonts w:ascii="Times New Roman" w:hAnsi="Times New Roman" w:cs="Times New Roman"/>
          <w:sz w:val="24"/>
          <w:szCs w:val="24"/>
          <w:lang w:val="bg-BG"/>
        </w:rPr>
        <w:t>се изготви консолидиран анализ на финансовата устойчивост от гледна точка на</w:t>
      </w:r>
      <w:r w:rsidR="00C02E10"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0391">
        <w:rPr>
          <w:rFonts w:ascii="Times New Roman" w:hAnsi="Times New Roman" w:cs="Times New Roman"/>
          <w:sz w:val="24"/>
          <w:szCs w:val="24"/>
          <w:lang w:val="bg-BG"/>
        </w:rPr>
        <w:t>проекта като цяло;</w:t>
      </w:r>
    </w:p>
    <w:p w:rsidR="007A3A53" w:rsidRPr="00F80391" w:rsidRDefault="006B042B" w:rsidP="007A3A53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80391">
        <w:rPr>
          <w:rFonts w:ascii="Times New Roman" w:hAnsi="Times New Roman" w:cs="Times New Roman"/>
          <w:sz w:val="24"/>
          <w:szCs w:val="24"/>
          <w:lang w:val="bg-BG"/>
        </w:rPr>
        <w:t>Източници на финансиране</w:t>
      </w:r>
    </w:p>
    <w:p w:rsidR="007A3A53" w:rsidRPr="00F80391" w:rsidRDefault="006B042B" w:rsidP="007A3A53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80391">
        <w:rPr>
          <w:rFonts w:ascii="Times New Roman" w:hAnsi="Times New Roman" w:cs="Times New Roman"/>
          <w:sz w:val="24"/>
          <w:szCs w:val="24"/>
          <w:lang w:val="bg-BG"/>
        </w:rPr>
        <w:t>Проверка за свръхкомпенсиране на превозвача/превозвачите в съответствие с</w:t>
      </w:r>
      <w:r w:rsidR="009E5331"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0391">
        <w:rPr>
          <w:rFonts w:ascii="Times New Roman" w:hAnsi="Times New Roman" w:cs="Times New Roman"/>
          <w:sz w:val="24"/>
          <w:szCs w:val="24"/>
          <w:lang w:val="bg-BG"/>
        </w:rPr>
        <w:t>Регламент (ЕО) № 1370/2007 на Европейския парламент и на Съвета (Приложение</w:t>
      </w:r>
      <w:r w:rsidR="00C02E10"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0391">
        <w:rPr>
          <w:rFonts w:ascii="Times New Roman" w:hAnsi="Times New Roman" w:cs="Times New Roman"/>
          <w:sz w:val="24"/>
          <w:szCs w:val="24"/>
          <w:lang w:val="bg-BG"/>
        </w:rPr>
        <w:t>„Правила, приложими за компенсациите в случаите по член 6, параграф 1“);</w:t>
      </w:r>
    </w:p>
    <w:p w:rsidR="007A3A53" w:rsidRPr="00F80391" w:rsidRDefault="006B042B" w:rsidP="007A3A53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80391">
        <w:rPr>
          <w:rFonts w:ascii="Times New Roman" w:hAnsi="Times New Roman" w:cs="Times New Roman"/>
          <w:sz w:val="24"/>
          <w:szCs w:val="24"/>
          <w:lang w:val="bg-BG"/>
        </w:rPr>
        <w:t>Амортизационен план на кредита, ако е предвидено заемно финансиране;</w:t>
      </w:r>
    </w:p>
    <w:p w:rsidR="007A3A53" w:rsidRPr="00F80391" w:rsidRDefault="006B042B" w:rsidP="007A3A53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80391">
        <w:rPr>
          <w:rFonts w:ascii="Times New Roman" w:hAnsi="Times New Roman" w:cs="Times New Roman"/>
          <w:sz w:val="24"/>
          <w:szCs w:val="24"/>
          <w:lang w:val="bg-BG"/>
        </w:rPr>
        <w:t>Икономически анализ: фискални и ценови корекции, остойностяване на ползите от</w:t>
      </w:r>
      <w:r w:rsidR="009E5331"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0391">
        <w:rPr>
          <w:rFonts w:ascii="Times New Roman" w:hAnsi="Times New Roman" w:cs="Times New Roman"/>
          <w:sz w:val="24"/>
          <w:szCs w:val="24"/>
          <w:lang w:val="bg-BG"/>
        </w:rPr>
        <w:t>проекта, изчисляване на показателите ЕNPV, EIRR и BCR;</w:t>
      </w:r>
    </w:p>
    <w:p w:rsidR="007A3A53" w:rsidRPr="00F80391" w:rsidRDefault="006B042B" w:rsidP="007A3A53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80391">
        <w:rPr>
          <w:rFonts w:ascii="Times New Roman" w:hAnsi="Times New Roman" w:cs="Times New Roman"/>
          <w:sz w:val="24"/>
          <w:szCs w:val="24"/>
          <w:lang w:val="bg-BG"/>
        </w:rPr>
        <w:t>Анализ на чувствителността,</w:t>
      </w:r>
    </w:p>
    <w:p w:rsidR="006B042B" w:rsidRPr="00F80391" w:rsidRDefault="006B042B" w:rsidP="007A3A53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80391">
        <w:rPr>
          <w:rFonts w:ascii="Times New Roman" w:hAnsi="Times New Roman" w:cs="Times New Roman"/>
          <w:sz w:val="24"/>
          <w:szCs w:val="24"/>
          <w:lang w:val="bg-BG"/>
        </w:rPr>
        <w:t>Анализ на риска.</w:t>
      </w:r>
    </w:p>
    <w:p w:rsidR="00A05000" w:rsidRPr="00F80391" w:rsidRDefault="00A05000" w:rsidP="00F02D2E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36E83" w:rsidRPr="00F80391" w:rsidRDefault="00F80391" w:rsidP="00F80391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80391">
        <w:rPr>
          <w:rFonts w:ascii="Times New Roman" w:hAnsi="Times New Roman" w:cs="Times New Roman"/>
          <w:sz w:val="24"/>
          <w:szCs w:val="24"/>
          <w:lang w:val="en-US"/>
        </w:rPr>
        <w:tab/>
        <w:t xml:space="preserve">4. </w:t>
      </w:r>
      <w:r w:rsidR="005B12E1" w:rsidRPr="00F80391">
        <w:rPr>
          <w:rFonts w:ascii="Times New Roman" w:hAnsi="Times New Roman" w:cs="Times New Roman"/>
          <w:b/>
          <w:sz w:val="24"/>
          <w:szCs w:val="24"/>
          <w:lang w:val="bg-BG"/>
        </w:rPr>
        <w:t>Анализът разходи-ползи</w:t>
      </w:r>
      <w:r w:rsidR="005B12E1"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D6E40"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за проекта </w:t>
      </w:r>
      <w:r w:rsidR="005B12E1" w:rsidRPr="00F80391">
        <w:rPr>
          <w:rFonts w:ascii="Times New Roman" w:hAnsi="Times New Roman" w:cs="Times New Roman"/>
          <w:sz w:val="24"/>
          <w:szCs w:val="24"/>
          <w:lang w:val="bg-BG"/>
        </w:rPr>
        <w:t>следва да бъде изготвен в пълно съответствие с насоките на ЕК за изготвяне на Анализ разходи-ползи на инвестиционни проекти</w:t>
      </w:r>
      <w:r w:rsidR="00C65370"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436E83"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съгласно </w:t>
      </w:r>
      <w:r w:rsidR="00C65370" w:rsidRPr="00F80391">
        <w:rPr>
          <w:rFonts w:ascii="Times New Roman" w:hAnsi="Times New Roman" w:cs="Times New Roman"/>
          <w:sz w:val="24"/>
          <w:szCs w:val="24"/>
          <w:lang w:val="bg-BG"/>
        </w:rPr>
        <w:t>т. 3</w:t>
      </w:r>
      <w:r w:rsidR="00490EDD"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36E83"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„Транспорт“, </w:t>
      </w:r>
      <w:r w:rsidR="006C6644" w:rsidRPr="00F80391">
        <w:rPr>
          <w:rFonts w:ascii="Times New Roman" w:hAnsi="Times New Roman" w:cs="Times New Roman"/>
          <w:sz w:val="24"/>
          <w:szCs w:val="24"/>
          <w:lang w:val="bg-BG"/>
        </w:rPr>
        <w:t>а именно:</w:t>
      </w:r>
      <w:r w:rsidR="00436E83"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436E83" w:rsidRPr="00F80391" w:rsidRDefault="00436E83" w:rsidP="00436E83">
      <w:pPr>
        <w:spacing w:after="0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F80391">
        <w:rPr>
          <w:rFonts w:ascii="Times New Roman" w:hAnsi="Times New Roman" w:cs="Times New Roman"/>
          <w:i/>
          <w:sz w:val="24"/>
          <w:szCs w:val="24"/>
          <w:lang w:val="bg-BG"/>
        </w:rPr>
        <w:t>Въведение</w:t>
      </w:r>
      <w:r w:rsidRPr="00F80391">
        <w:rPr>
          <w:rFonts w:ascii="Times New Roman" w:hAnsi="Times New Roman" w:cs="Times New Roman"/>
          <w:i/>
          <w:sz w:val="24"/>
          <w:szCs w:val="24"/>
          <w:lang w:val="bg-BG"/>
        </w:rPr>
        <w:br/>
        <w:t>Описание на контекста</w:t>
      </w:r>
      <w:r w:rsidRPr="00F80391">
        <w:rPr>
          <w:rFonts w:ascii="Times New Roman" w:hAnsi="Times New Roman" w:cs="Times New Roman"/>
          <w:i/>
          <w:sz w:val="24"/>
          <w:szCs w:val="24"/>
          <w:lang w:val="bg-BG"/>
        </w:rPr>
        <w:br/>
        <w:t>Определяне на цели</w:t>
      </w:r>
      <w:r w:rsidRPr="00F80391">
        <w:rPr>
          <w:rFonts w:ascii="Times New Roman" w:hAnsi="Times New Roman" w:cs="Times New Roman"/>
          <w:i/>
          <w:sz w:val="24"/>
          <w:szCs w:val="24"/>
          <w:lang w:val="bg-BG"/>
        </w:rPr>
        <w:br/>
        <w:t>Идентификация на проекта</w:t>
      </w:r>
      <w:r w:rsidRPr="00F80391">
        <w:rPr>
          <w:rFonts w:ascii="Times New Roman" w:hAnsi="Times New Roman" w:cs="Times New Roman"/>
          <w:i/>
          <w:sz w:val="24"/>
          <w:szCs w:val="24"/>
          <w:lang w:val="bg-BG"/>
        </w:rPr>
        <w:br/>
        <w:t>Прогнозиране на обема на трафика</w:t>
      </w:r>
      <w:r w:rsidRPr="00F80391">
        <w:rPr>
          <w:rFonts w:ascii="Times New Roman" w:hAnsi="Times New Roman" w:cs="Times New Roman"/>
          <w:i/>
          <w:sz w:val="24"/>
          <w:szCs w:val="24"/>
          <w:lang w:val="bg-BG"/>
        </w:rPr>
        <w:br/>
        <w:t>Фактори, влияещи върху анализ на търсенето</w:t>
      </w:r>
      <w:r w:rsidRPr="00F80391">
        <w:rPr>
          <w:rFonts w:ascii="Times New Roman" w:hAnsi="Times New Roman" w:cs="Times New Roman"/>
          <w:i/>
          <w:sz w:val="24"/>
          <w:szCs w:val="24"/>
          <w:lang w:val="bg-BG"/>
        </w:rPr>
        <w:br/>
        <w:t>Хипотези, методи и вход</w:t>
      </w:r>
      <w:r w:rsidRPr="00F80391">
        <w:rPr>
          <w:rFonts w:ascii="Times New Roman" w:hAnsi="Times New Roman" w:cs="Times New Roman"/>
          <w:i/>
          <w:sz w:val="24"/>
          <w:szCs w:val="24"/>
          <w:lang w:val="bg-BG"/>
        </w:rPr>
        <w:br/>
        <w:t>Изходи на прогнозата за трафика</w:t>
      </w:r>
      <w:r w:rsidRPr="00F80391">
        <w:rPr>
          <w:rFonts w:ascii="Times New Roman" w:hAnsi="Times New Roman" w:cs="Times New Roman"/>
          <w:i/>
          <w:sz w:val="24"/>
          <w:szCs w:val="24"/>
          <w:lang w:val="bg-BG"/>
        </w:rPr>
        <w:br/>
        <w:t>Анализ на вариантите</w:t>
      </w:r>
      <w:r w:rsidRPr="00F80391">
        <w:rPr>
          <w:rFonts w:ascii="Times New Roman" w:hAnsi="Times New Roman" w:cs="Times New Roman"/>
          <w:i/>
          <w:sz w:val="24"/>
          <w:szCs w:val="24"/>
          <w:lang w:val="bg-BG"/>
        </w:rPr>
        <w:br/>
        <w:t>Финансов анализ</w:t>
      </w:r>
      <w:r w:rsidRPr="00F80391">
        <w:rPr>
          <w:rFonts w:ascii="Times New Roman" w:hAnsi="Times New Roman" w:cs="Times New Roman"/>
          <w:i/>
          <w:sz w:val="24"/>
          <w:szCs w:val="24"/>
          <w:lang w:val="bg-BG"/>
        </w:rPr>
        <w:br/>
        <w:t>Инвестиционни разходи</w:t>
      </w:r>
      <w:r w:rsidRPr="00F80391">
        <w:rPr>
          <w:rFonts w:ascii="Times New Roman" w:hAnsi="Times New Roman" w:cs="Times New Roman"/>
          <w:i/>
          <w:sz w:val="24"/>
          <w:szCs w:val="24"/>
          <w:lang w:val="bg-BG"/>
        </w:rPr>
        <w:br/>
        <w:t xml:space="preserve">Разходи за експлоатация и поддръжка (O &amp; M) </w:t>
      </w:r>
      <w:r w:rsidRPr="00F80391">
        <w:rPr>
          <w:rFonts w:ascii="Times New Roman" w:hAnsi="Times New Roman" w:cs="Times New Roman"/>
          <w:i/>
          <w:sz w:val="24"/>
          <w:szCs w:val="24"/>
          <w:lang w:val="bg-BG"/>
        </w:rPr>
        <w:br/>
        <w:t>Прогнози за приходите</w:t>
      </w:r>
      <w:r w:rsidRPr="00F80391">
        <w:rPr>
          <w:rFonts w:ascii="Times New Roman" w:hAnsi="Times New Roman" w:cs="Times New Roman"/>
          <w:i/>
          <w:sz w:val="24"/>
          <w:szCs w:val="24"/>
          <w:lang w:val="bg-BG"/>
        </w:rPr>
        <w:br/>
      </w:r>
      <w:r w:rsidRPr="00F80391">
        <w:rPr>
          <w:rFonts w:ascii="Times New Roman" w:hAnsi="Times New Roman" w:cs="Times New Roman"/>
          <w:i/>
          <w:sz w:val="24"/>
          <w:szCs w:val="24"/>
          <w:lang w:val="bg-BG"/>
        </w:rPr>
        <w:lastRenderedPageBreak/>
        <w:t>Икономически анализ</w:t>
      </w:r>
      <w:r w:rsidRPr="00F80391">
        <w:rPr>
          <w:rFonts w:ascii="Times New Roman" w:hAnsi="Times New Roman" w:cs="Times New Roman"/>
          <w:i/>
          <w:sz w:val="24"/>
          <w:szCs w:val="24"/>
          <w:lang w:val="bg-BG"/>
        </w:rPr>
        <w:br/>
        <w:t>Време за пътуване</w:t>
      </w:r>
    </w:p>
    <w:p w:rsidR="00436E83" w:rsidRPr="00F80391" w:rsidRDefault="00436E83" w:rsidP="00436E83">
      <w:pPr>
        <w:spacing w:after="0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F80391">
        <w:rPr>
          <w:rFonts w:ascii="Times New Roman" w:hAnsi="Times New Roman" w:cs="Times New Roman"/>
          <w:i/>
          <w:sz w:val="24"/>
          <w:szCs w:val="24"/>
          <w:lang w:val="bg-BG"/>
        </w:rPr>
        <w:t>Оперативни /експлоатационни разходи за превозните средства на участниците в движението</w:t>
      </w:r>
      <w:r w:rsidRPr="00F80391">
        <w:rPr>
          <w:rFonts w:ascii="Times New Roman" w:hAnsi="Times New Roman" w:cs="Times New Roman"/>
          <w:i/>
          <w:sz w:val="24"/>
          <w:szCs w:val="24"/>
          <w:lang w:val="bg-BG"/>
        </w:rPr>
        <w:br/>
        <w:t>Оперативни разходи на доставчиците на услуги</w:t>
      </w:r>
      <w:r w:rsidRPr="00F80391">
        <w:rPr>
          <w:rFonts w:ascii="Times New Roman" w:hAnsi="Times New Roman" w:cs="Times New Roman"/>
          <w:i/>
          <w:sz w:val="24"/>
          <w:szCs w:val="24"/>
          <w:lang w:val="bg-BG"/>
        </w:rPr>
        <w:br/>
        <w:t>Инциденти</w:t>
      </w:r>
      <w:r w:rsidRPr="00F80391">
        <w:rPr>
          <w:rFonts w:ascii="Times New Roman" w:hAnsi="Times New Roman" w:cs="Times New Roman"/>
          <w:i/>
          <w:sz w:val="24"/>
          <w:szCs w:val="24"/>
          <w:lang w:val="bg-BG"/>
        </w:rPr>
        <w:br/>
        <w:t>Шум</w:t>
      </w:r>
      <w:r w:rsidRPr="00F80391">
        <w:rPr>
          <w:rFonts w:ascii="Times New Roman" w:hAnsi="Times New Roman" w:cs="Times New Roman"/>
          <w:i/>
          <w:sz w:val="24"/>
          <w:szCs w:val="24"/>
          <w:lang w:val="bg-BG"/>
        </w:rPr>
        <w:br/>
        <w:t>Замърсяване на въздуха</w:t>
      </w:r>
      <w:r w:rsidRPr="00F80391">
        <w:rPr>
          <w:rFonts w:ascii="Times New Roman" w:hAnsi="Times New Roman" w:cs="Times New Roman"/>
          <w:i/>
          <w:sz w:val="24"/>
          <w:szCs w:val="24"/>
          <w:lang w:val="bg-BG"/>
        </w:rPr>
        <w:br/>
        <w:t>Изменението на климата</w:t>
      </w:r>
      <w:r w:rsidRPr="00F80391">
        <w:rPr>
          <w:rFonts w:ascii="Times New Roman" w:hAnsi="Times New Roman" w:cs="Times New Roman"/>
          <w:i/>
          <w:sz w:val="24"/>
          <w:szCs w:val="24"/>
          <w:lang w:val="bg-BG"/>
        </w:rPr>
        <w:br/>
        <w:t>Оценка на риска</w:t>
      </w:r>
    </w:p>
    <w:p w:rsidR="0032012C" w:rsidRPr="00F80391" w:rsidRDefault="0032012C" w:rsidP="00F02D2E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B12E1" w:rsidRPr="00F80391" w:rsidRDefault="00F80391" w:rsidP="00436E8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Примерно </w:t>
      </w:r>
      <w:r w:rsidRPr="00F80391">
        <w:rPr>
          <w:rFonts w:ascii="Times New Roman" w:hAnsi="Times New Roman" w:cs="Times New Roman"/>
          <w:b/>
          <w:sz w:val="24"/>
          <w:szCs w:val="24"/>
          <w:lang w:val="bg-BG"/>
        </w:rPr>
        <w:t>съдържание</w:t>
      </w:r>
      <w:r w:rsidRPr="00F8039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 документа </w:t>
      </w:r>
      <w:r w:rsidR="00436E83" w:rsidRPr="00F80391">
        <w:rPr>
          <w:rFonts w:ascii="Times New Roman" w:hAnsi="Times New Roman" w:cs="Times New Roman"/>
          <w:b/>
          <w:sz w:val="24"/>
          <w:szCs w:val="24"/>
          <w:lang w:val="bg-BG"/>
        </w:rPr>
        <w:t>за проект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и</w:t>
      </w:r>
      <w:r w:rsidR="00436E83" w:rsidRPr="00F8039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в сферата на </w:t>
      </w:r>
      <w:r w:rsidR="00436E83" w:rsidRPr="00F80391">
        <w:rPr>
          <w:rFonts w:ascii="Times New Roman" w:hAnsi="Times New Roman" w:cs="Times New Roman"/>
          <w:b/>
          <w:sz w:val="24"/>
          <w:szCs w:val="24"/>
          <w:lang w:val="bg-BG"/>
        </w:rPr>
        <w:t xml:space="preserve">градски транспорт, съгласно насоките на ЕК: </w:t>
      </w:r>
    </w:p>
    <w:p w:rsidR="00436E83" w:rsidRPr="00F80391" w:rsidRDefault="00436E83" w:rsidP="00926601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926601" w:rsidRPr="00F80391" w:rsidRDefault="00926601" w:rsidP="00926601">
      <w:pPr>
        <w:spacing w:after="0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F80391">
        <w:rPr>
          <w:rFonts w:ascii="Times New Roman" w:hAnsi="Times New Roman" w:cs="Times New Roman"/>
          <w:i/>
          <w:sz w:val="24"/>
          <w:szCs w:val="24"/>
          <w:lang w:val="bg-BG"/>
        </w:rPr>
        <w:t>Въведение</w:t>
      </w:r>
      <w:r w:rsidRPr="00F80391">
        <w:rPr>
          <w:rFonts w:ascii="Times New Roman" w:hAnsi="Times New Roman" w:cs="Times New Roman"/>
          <w:i/>
          <w:sz w:val="24"/>
          <w:szCs w:val="24"/>
          <w:lang w:val="bg-BG"/>
        </w:rPr>
        <w:br/>
      </w:r>
      <w:r w:rsidRPr="00F80391">
        <w:rPr>
          <w:rFonts w:ascii="Times New Roman" w:hAnsi="Times New Roman" w:cs="Times New Roman"/>
          <w:b/>
          <w:i/>
          <w:sz w:val="24"/>
          <w:szCs w:val="24"/>
          <w:lang w:val="bg-BG"/>
        </w:rPr>
        <w:t>Описание</w:t>
      </w:r>
      <w:r w:rsidRPr="00F8039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2012C" w:rsidRPr="00F80391">
        <w:rPr>
          <w:rFonts w:ascii="Times New Roman" w:hAnsi="Times New Roman" w:cs="Times New Roman"/>
          <w:b/>
          <w:i/>
          <w:sz w:val="24"/>
          <w:szCs w:val="24"/>
          <w:lang w:val="bg-BG"/>
        </w:rPr>
        <w:t>на проект</w:t>
      </w:r>
      <w:r w:rsidRPr="00F80391">
        <w:rPr>
          <w:rFonts w:ascii="Times New Roman" w:hAnsi="Times New Roman" w:cs="Times New Roman"/>
          <w:b/>
          <w:i/>
          <w:sz w:val="24"/>
          <w:szCs w:val="24"/>
          <w:lang w:val="bg-BG"/>
        </w:rPr>
        <w:t>а</w:t>
      </w:r>
      <w:r w:rsidRPr="00F80391">
        <w:rPr>
          <w:rFonts w:ascii="Times New Roman" w:hAnsi="Times New Roman" w:cs="Times New Roman"/>
          <w:i/>
          <w:sz w:val="24"/>
          <w:szCs w:val="24"/>
          <w:lang w:val="bg-BG"/>
        </w:rPr>
        <w:br/>
      </w:r>
      <w:r w:rsidR="0032012C" w:rsidRPr="00F80391">
        <w:rPr>
          <w:rFonts w:ascii="Times New Roman" w:hAnsi="Times New Roman" w:cs="Times New Roman"/>
          <w:b/>
          <w:i/>
          <w:sz w:val="24"/>
          <w:szCs w:val="24"/>
          <w:lang w:val="bg-BG"/>
        </w:rPr>
        <w:t>Ц</w:t>
      </w:r>
      <w:r w:rsidRPr="00F80391">
        <w:rPr>
          <w:rFonts w:ascii="Times New Roman" w:hAnsi="Times New Roman" w:cs="Times New Roman"/>
          <w:b/>
          <w:i/>
          <w:sz w:val="24"/>
          <w:szCs w:val="24"/>
          <w:lang w:val="bg-BG"/>
        </w:rPr>
        <w:t>ели</w:t>
      </w:r>
      <w:r w:rsidR="0032012C" w:rsidRPr="00F80391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на проекта</w:t>
      </w:r>
    </w:p>
    <w:p w:rsidR="0032012C" w:rsidRPr="00F80391" w:rsidRDefault="0032012C" w:rsidP="00CF6098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F80391">
        <w:rPr>
          <w:rFonts w:ascii="Times New Roman" w:hAnsi="Times New Roman" w:cs="Times New Roman"/>
          <w:b/>
          <w:i/>
          <w:sz w:val="24"/>
          <w:szCs w:val="24"/>
          <w:lang w:val="bg-BG"/>
        </w:rPr>
        <w:t>Търсене и анализ на вариантите:</w:t>
      </w:r>
    </w:p>
    <w:p w:rsidR="00924BC9" w:rsidRPr="00F80391" w:rsidRDefault="00924BC9" w:rsidP="00CF6098">
      <w:pPr>
        <w:spacing w:after="0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F80391">
        <w:rPr>
          <w:rFonts w:ascii="Times New Roman" w:hAnsi="Times New Roman" w:cs="Times New Roman"/>
          <w:i/>
          <w:sz w:val="24"/>
          <w:szCs w:val="24"/>
          <w:lang w:val="bg-BG"/>
        </w:rPr>
        <w:t>Анализ на вариантите</w:t>
      </w:r>
    </w:p>
    <w:p w:rsidR="0032012C" w:rsidRPr="00F80391" w:rsidRDefault="0032012C" w:rsidP="00CF6098">
      <w:pPr>
        <w:spacing w:after="0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F80391">
        <w:rPr>
          <w:rFonts w:ascii="Times New Roman" w:hAnsi="Times New Roman" w:cs="Times New Roman"/>
          <w:i/>
          <w:sz w:val="24"/>
          <w:szCs w:val="24"/>
          <w:lang w:val="bg-BG"/>
        </w:rPr>
        <w:t>Анализ на търсенето</w:t>
      </w:r>
    </w:p>
    <w:p w:rsidR="001D2AED" w:rsidRPr="00F80391" w:rsidRDefault="001D2AED" w:rsidP="00CF6098">
      <w:pPr>
        <w:spacing w:after="0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F80391">
        <w:rPr>
          <w:rFonts w:ascii="Times New Roman" w:hAnsi="Times New Roman" w:cs="Times New Roman"/>
          <w:i/>
          <w:sz w:val="24"/>
          <w:szCs w:val="24"/>
          <w:lang w:val="bg-BG"/>
        </w:rPr>
        <w:t>Транспортна осигуреност</w:t>
      </w:r>
    </w:p>
    <w:p w:rsidR="001D2AED" w:rsidRPr="00F80391" w:rsidRDefault="001D2AED" w:rsidP="001D2AED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F80391">
        <w:rPr>
          <w:rFonts w:ascii="Times New Roman" w:hAnsi="Times New Roman" w:cs="Times New Roman"/>
          <w:b/>
          <w:i/>
          <w:sz w:val="24"/>
          <w:szCs w:val="24"/>
          <w:lang w:val="bg-BG"/>
        </w:rPr>
        <w:t>Разходи по проекта и приходи от избрания вариант</w:t>
      </w:r>
    </w:p>
    <w:p w:rsidR="001D2AED" w:rsidRPr="00F80391" w:rsidRDefault="001D2AED" w:rsidP="001D2AED">
      <w:pPr>
        <w:spacing w:after="0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F80391">
        <w:rPr>
          <w:rFonts w:ascii="Times New Roman" w:hAnsi="Times New Roman" w:cs="Times New Roman"/>
          <w:i/>
          <w:sz w:val="24"/>
          <w:szCs w:val="24"/>
          <w:lang w:val="bg-BG"/>
        </w:rPr>
        <w:t>Разходи за инвестиции</w:t>
      </w:r>
    </w:p>
    <w:p w:rsidR="001D2AED" w:rsidRPr="00F80391" w:rsidRDefault="001D2AED" w:rsidP="001D2AED">
      <w:pPr>
        <w:spacing w:after="0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F80391">
        <w:rPr>
          <w:rFonts w:ascii="Times New Roman" w:hAnsi="Times New Roman" w:cs="Times New Roman"/>
          <w:i/>
          <w:sz w:val="24"/>
          <w:szCs w:val="24"/>
          <w:lang w:val="bg-BG"/>
        </w:rPr>
        <w:t>Разходи за експлоатация и поддръжка (O &amp; M)</w:t>
      </w:r>
    </w:p>
    <w:p w:rsidR="001D2AED" w:rsidRPr="00F80391" w:rsidRDefault="005B12E1" w:rsidP="001D2AED">
      <w:pPr>
        <w:spacing w:after="0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F80391">
        <w:rPr>
          <w:rFonts w:ascii="Times New Roman" w:hAnsi="Times New Roman" w:cs="Times New Roman"/>
          <w:i/>
          <w:sz w:val="24"/>
          <w:szCs w:val="24"/>
          <w:lang w:val="bg-BG"/>
        </w:rPr>
        <w:t>Разходи за подмяна</w:t>
      </w:r>
    </w:p>
    <w:p w:rsidR="001D2AED" w:rsidRPr="00F80391" w:rsidRDefault="001D2AED" w:rsidP="001D2AED">
      <w:pPr>
        <w:spacing w:after="0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F80391">
        <w:rPr>
          <w:rFonts w:ascii="Times New Roman" w:hAnsi="Times New Roman" w:cs="Times New Roman"/>
          <w:i/>
          <w:sz w:val="24"/>
          <w:szCs w:val="24"/>
          <w:lang w:val="bg-BG"/>
        </w:rPr>
        <w:t>Остатъчна стойност</w:t>
      </w:r>
    </w:p>
    <w:p w:rsidR="001D2AED" w:rsidRPr="00F80391" w:rsidRDefault="001D2AED" w:rsidP="001D2AED">
      <w:pPr>
        <w:spacing w:after="0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F80391">
        <w:rPr>
          <w:rFonts w:ascii="Times New Roman" w:hAnsi="Times New Roman" w:cs="Times New Roman"/>
          <w:i/>
          <w:sz w:val="24"/>
          <w:szCs w:val="24"/>
          <w:lang w:val="bg-BG"/>
        </w:rPr>
        <w:t>Приходи</w:t>
      </w:r>
    </w:p>
    <w:p w:rsidR="00E0189C" w:rsidRPr="00F80391" w:rsidRDefault="00E0189C" w:rsidP="00E0189C">
      <w:pPr>
        <w:spacing w:after="0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F80391">
        <w:rPr>
          <w:rFonts w:ascii="Times New Roman" w:hAnsi="Times New Roman" w:cs="Times New Roman"/>
          <w:i/>
          <w:sz w:val="24"/>
          <w:szCs w:val="24"/>
          <w:lang w:val="bg-BG"/>
        </w:rPr>
        <w:t>Компенсации за задължения за обществени услуги</w:t>
      </w:r>
    </w:p>
    <w:p w:rsidR="001D2AED" w:rsidRPr="00F80391" w:rsidRDefault="00E0189C" w:rsidP="00924BC9">
      <w:pPr>
        <w:spacing w:after="0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F80391">
        <w:rPr>
          <w:rFonts w:ascii="Times New Roman" w:hAnsi="Times New Roman" w:cs="Times New Roman"/>
          <w:i/>
          <w:sz w:val="24"/>
          <w:szCs w:val="24"/>
          <w:lang w:val="bg-BG"/>
        </w:rPr>
        <w:t>Условия по кредитите</w:t>
      </w:r>
    </w:p>
    <w:p w:rsidR="00745F6F" w:rsidRPr="00F80391" w:rsidRDefault="00924BC9" w:rsidP="00924BC9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F80391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Финансов </w:t>
      </w:r>
      <w:r w:rsidR="00B72E20" w:rsidRPr="00F80391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и икономически </w:t>
      </w:r>
      <w:r w:rsidRPr="00F80391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анализ: </w:t>
      </w:r>
    </w:p>
    <w:p w:rsidR="00B72E20" w:rsidRPr="00F80391" w:rsidRDefault="00B72E20" w:rsidP="00924BC9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F80391">
        <w:rPr>
          <w:rFonts w:ascii="Times New Roman" w:hAnsi="Times New Roman" w:cs="Times New Roman"/>
          <w:b/>
          <w:i/>
          <w:sz w:val="24"/>
          <w:szCs w:val="24"/>
          <w:lang w:val="bg-BG"/>
        </w:rPr>
        <w:t>Финансов анализ</w:t>
      </w:r>
    </w:p>
    <w:p w:rsidR="00B06185" w:rsidRPr="00F80391" w:rsidRDefault="00B06185" w:rsidP="00924BC9">
      <w:pPr>
        <w:spacing w:after="0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F80391">
        <w:rPr>
          <w:rFonts w:ascii="Times New Roman" w:hAnsi="Times New Roman" w:cs="Times New Roman"/>
          <w:i/>
          <w:sz w:val="24"/>
          <w:szCs w:val="24"/>
          <w:lang w:val="bg-BG"/>
        </w:rPr>
        <w:t>Използван метод</w:t>
      </w:r>
    </w:p>
    <w:p w:rsidR="00B06185" w:rsidRPr="00F80391" w:rsidRDefault="00B06185" w:rsidP="00924BC9">
      <w:pPr>
        <w:spacing w:after="0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F80391">
        <w:rPr>
          <w:rFonts w:ascii="Times New Roman" w:hAnsi="Times New Roman" w:cs="Times New Roman"/>
          <w:i/>
          <w:sz w:val="24"/>
          <w:szCs w:val="24"/>
          <w:lang w:val="bg-BG"/>
        </w:rPr>
        <w:t>Инвестиционни разходи, разходи з</w:t>
      </w:r>
      <w:r w:rsidR="005B12E1" w:rsidRPr="00F80391">
        <w:rPr>
          <w:rFonts w:ascii="Times New Roman" w:hAnsi="Times New Roman" w:cs="Times New Roman"/>
          <w:i/>
          <w:sz w:val="24"/>
          <w:szCs w:val="24"/>
          <w:lang w:val="bg-BG"/>
        </w:rPr>
        <w:t>а подмяна и остатъчна стойност</w:t>
      </w:r>
    </w:p>
    <w:p w:rsidR="00B06185" w:rsidRPr="00F80391" w:rsidRDefault="00B06185" w:rsidP="00924BC9">
      <w:pPr>
        <w:spacing w:after="0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F80391">
        <w:rPr>
          <w:rFonts w:ascii="Times New Roman" w:hAnsi="Times New Roman" w:cs="Times New Roman"/>
          <w:i/>
          <w:sz w:val="24"/>
          <w:szCs w:val="24"/>
          <w:lang w:val="bg-BG"/>
        </w:rPr>
        <w:t>Оперативни разходи и приходи</w:t>
      </w:r>
    </w:p>
    <w:p w:rsidR="00B06185" w:rsidRPr="00F80391" w:rsidRDefault="00B06185" w:rsidP="00924BC9">
      <w:pPr>
        <w:spacing w:after="0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F80391">
        <w:rPr>
          <w:rFonts w:ascii="Times New Roman" w:hAnsi="Times New Roman" w:cs="Times New Roman"/>
          <w:i/>
          <w:sz w:val="24"/>
          <w:szCs w:val="24"/>
          <w:lang w:val="bg-BG"/>
        </w:rPr>
        <w:t>Източници на финансиране</w:t>
      </w:r>
    </w:p>
    <w:p w:rsidR="00B06185" w:rsidRPr="00F80391" w:rsidRDefault="00B06185" w:rsidP="00924BC9">
      <w:pPr>
        <w:spacing w:after="0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F80391">
        <w:rPr>
          <w:rFonts w:ascii="Times New Roman" w:hAnsi="Times New Roman" w:cs="Times New Roman"/>
          <w:i/>
          <w:sz w:val="24"/>
          <w:szCs w:val="24"/>
          <w:lang w:val="bg-BG"/>
        </w:rPr>
        <w:t>Финансова рентабилност</w:t>
      </w:r>
    </w:p>
    <w:p w:rsidR="00B06185" w:rsidRPr="00F80391" w:rsidRDefault="00B06185" w:rsidP="00924BC9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F80391">
        <w:rPr>
          <w:rFonts w:ascii="Times New Roman" w:hAnsi="Times New Roman" w:cs="Times New Roman"/>
          <w:i/>
          <w:sz w:val="24"/>
          <w:szCs w:val="24"/>
          <w:lang w:val="bg-BG"/>
        </w:rPr>
        <w:t>Финансова устойчивост</w:t>
      </w:r>
    </w:p>
    <w:p w:rsidR="00745F6F" w:rsidRPr="00F80391" w:rsidRDefault="00B72E20" w:rsidP="00D1065B">
      <w:pPr>
        <w:spacing w:after="0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F80391">
        <w:rPr>
          <w:rFonts w:ascii="Times New Roman" w:hAnsi="Times New Roman" w:cs="Times New Roman"/>
          <w:b/>
          <w:i/>
          <w:sz w:val="24"/>
          <w:szCs w:val="24"/>
          <w:lang w:val="bg-BG"/>
        </w:rPr>
        <w:t>Социално-и</w:t>
      </w:r>
      <w:r w:rsidR="005A2C88" w:rsidRPr="00F80391">
        <w:rPr>
          <w:rFonts w:ascii="Times New Roman" w:hAnsi="Times New Roman" w:cs="Times New Roman"/>
          <w:b/>
          <w:i/>
          <w:sz w:val="24"/>
          <w:szCs w:val="24"/>
          <w:lang w:val="bg-BG"/>
        </w:rPr>
        <w:t>кономически анализ</w:t>
      </w:r>
    </w:p>
    <w:p w:rsidR="00E0189C" w:rsidRPr="00F80391" w:rsidRDefault="005B12E1" w:rsidP="00D1065B">
      <w:pPr>
        <w:spacing w:after="0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F80391">
        <w:rPr>
          <w:rFonts w:ascii="Times New Roman" w:hAnsi="Times New Roman" w:cs="Times New Roman"/>
          <w:i/>
          <w:sz w:val="24"/>
          <w:szCs w:val="24"/>
          <w:lang w:val="bg-BG"/>
        </w:rPr>
        <w:t>Инвестиционни разходи и под</w:t>
      </w:r>
      <w:r w:rsidR="00E0189C" w:rsidRPr="00F80391">
        <w:rPr>
          <w:rFonts w:ascii="Times New Roman" w:hAnsi="Times New Roman" w:cs="Times New Roman"/>
          <w:i/>
          <w:sz w:val="24"/>
          <w:szCs w:val="24"/>
          <w:lang w:val="bg-BG"/>
        </w:rPr>
        <w:t>мяна</w:t>
      </w:r>
    </w:p>
    <w:p w:rsidR="00B06185" w:rsidRPr="00F80391" w:rsidRDefault="00C65370" w:rsidP="00D1065B">
      <w:pPr>
        <w:spacing w:after="0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F80391">
        <w:rPr>
          <w:rFonts w:ascii="Times New Roman" w:hAnsi="Times New Roman" w:cs="Times New Roman"/>
          <w:i/>
          <w:sz w:val="24"/>
          <w:szCs w:val="24"/>
          <w:lang w:val="bg-BG"/>
        </w:rPr>
        <w:t>Излишък за производителя</w:t>
      </w:r>
    </w:p>
    <w:p w:rsidR="00C65370" w:rsidRPr="00F80391" w:rsidRDefault="00C65370" w:rsidP="00D1065B">
      <w:pPr>
        <w:spacing w:after="0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F80391">
        <w:rPr>
          <w:rFonts w:ascii="Times New Roman" w:hAnsi="Times New Roman" w:cs="Times New Roman"/>
          <w:i/>
          <w:sz w:val="24"/>
          <w:szCs w:val="24"/>
          <w:lang w:val="bg-BG"/>
        </w:rPr>
        <w:t>Излишък за клиента</w:t>
      </w:r>
    </w:p>
    <w:p w:rsidR="00745F6F" w:rsidRPr="00F80391" w:rsidRDefault="007E32DF" w:rsidP="00745F6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F80391">
        <w:rPr>
          <w:rFonts w:ascii="Times New Roman" w:hAnsi="Times New Roman" w:cs="Times New Roman"/>
          <w:i/>
          <w:sz w:val="24"/>
          <w:szCs w:val="24"/>
          <w:lang w:val="bg-BG"/>
        </w:rPr>
        <w:t>Време за пътуване;</w:t>
      </w:r>
      <w:r w:rsidR="00D1065B" w:rsidRPr="00F80391">
        <w:rPr>
          <w:i/>
          <w:lang w:val="bg-BG"/>
        </w:rPr>
        <w:t xml:space="preserve"> </w:t>
      </w:r>
    </w:p>
    <w:p w:rsidR="00745F6F" w:rsidRPr="00F80391" w:rsidRDefault="005B12E1" w:rsidP="00745F6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F80391">
        <w:rPr>
          <w:rFonts w:ascii="Times New Roman" w:hAnsi="Times New Roman" w:cs="Times New Roman"/>
          <w:i/>
          <w:sz w:val="24"/>
          <w:szCs w:val="24"/>
          <w:lang w:val="bg-BG"/>
        </w:rPr>
        <w:t>Спестяване на о</w:t>
      </w:r>
      <w:r w:rsidR="00C30205" w:rsidRPr="00F80391">
        <w:rPr>
          <w:rFonts w:ascii="Times New Roman" w:hAnsi="Times New Roman" w:cs="Times New Roman"/>
          <w:i/>
          <w:sz w:val="24"/>
          <w:szCs w:val="24"/>
          <w:lang w:val="bg-BG"/>
        </w:rPr>
        <w:t>перативни /</w:t>
      </w:r>
      <w:r w:rsidRPr="00F80391">
        <w:rPr>
          <w:rFonts w:ascii="Times New Roman" w:hAnsi="Times New Roman" w:cs="Times New Roman"/>
          <w:i/>
          <w:sz w:val="24"/>
          <w:szCs w:val="24"/>
          <w:lang w:val="bg-BG"/>
        </w:rPr>
        <w:t>е</w:t>
      </w:r>
      <w:r w:rsidR="00627973" w:rsidRPr="00F80391">
        <w:rPr>
          <w:rFonts w:ascii="Times New Roman" w:hAnsi="Times New Roman" w:cs="Times New Roman"/>
          <w:i/>
          <w:sz w:val="24"/>
          <w:szCs w:val="24"/>
          <w:lang w:val="bg-BG"/>
        </w:rPr>
        <w:t>ксплоатационни</w:t>
      </w:r>
      <w:r w:rsidR="00D1065B" w:rsidRPr="00F80391">
        <w:rPr>
          <w:rFonts w:ascii="Times New Roman" w:hAnsi="Times New Roman" w:cs="Times New Roman"/>
          <w:i/>
          <w:sz w:val="24"/>
          <w:szCs w:val="24"/>
          <w:lang w:val="bg-BG"/>
        </w:rPr>
        <w:t xml:space="preserve"> разходи </w:t>
      </w:r>
      <w:r w:rsidR="00627973" w:rsidRPr="00F80391">
        <w:rPr>
          <w:rFonts w:ascii="Times New Roman" w:hAnsi="Times New Roman" w:cs="Times New Roman"/>
          <w:i/>
          <w:sz w:val="24"/>
          <w:szCs w:val="24"/>
          <w:lang w:val="bg-BG"/>
        </w:rPr>
        <w:t>з</w:t>
      </w:r>
      <w:r w:rsidR="00D1065B" w:rsidRPr="00F80391">
        <w:rPr>
          <w:rFonts w:ascii="Times New Roman" w:hAnsi="Times New Roman" w:cs="Times New Roman"/>
          <w:i/>
          <w:sz w:val="24"/>
          <w:szCs w:val="24"/>
          <w:lang w:val="bg-BG"/>
        </w:rPr>
        <w:t xml:space="preserve">а </w:t>
      </w:r>
      <w:r w:rsidR="00627973" w:rsidRPr="00F80391">
        <w:rPr>
          <w:rFonts w:ascii="Times New Roman" w:hAnsi="Times New Roman" w:cs="Times New Roman"/>
          <w:i/>
          <w:sz w:val="24"/>
          <w:szCs w:val="24"/>
          <w:lang w:val="bg-BG"/>
        </w:rPr>
        <w:t xml:space="preserve">превозните средства </w:t>
      </w:r>
    </w:p>
    <w:p w:rsidR="00B72E20" w:rsidRPr="00F80391" w:rsidRDefault="00B72E20" w:rsidP="00B72E20">
      <w:pPr>
        <w:spacing w:after="0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F80391">
        <w:rPr>
          <w:rFonts w:ascii="Times New Roman" w:hAnsi="Times New Roman" w:cs="Times New Roman"/>
          <w:i/>
          <w:sz w:val="24"/>
          <w:szCs w:val="24"/>
          <w:lang w:val="bg-BG"/>
        </w:rPr>
        <w:t>Външни фактори</w:t>
      </w:r>
    </w:p>
    <w:p w:rsidR="00B72E20" w:rsidRPr="00F80391" w:rsidRDefault="00B72E20" w:rsidP="00B72E2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F80391">
        <w:rPr>
          <w:rFonts w:ascii="Times New Roman" w:hAnsi="Times New Roman" w:cs="Times New Roman"/>
          <w:i/>
          <w:sz w:val="24"/>
          <w:szCs w:val="24"/>
          <w:lang w:val="bg-BG"/>
        </w:rPr>
        <w:t>Инциденти;</w:t>
      </w:r>
    </w:p>
    <w:p w:rsidR="00745F6F" w:rsidRPr="00F80391" w:rsidRDefault="00D1065B" w:rsidP="00745F6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F80391">
        <w:rPr>
          <w:rFonts w:ascii="Times New Roman" w:hAnsi="Times New Roman" w:cs="Times New Roman"/>
          <w:i/>
          <w:sz w:val="24"/>
          <w:szCs w:val="24"/>
          <w:lang w:val="bg-BG"/>
        </w:rPr>
        <w:t>Шум;</w:t>
      </w:r>
    </w:p>
    <w:p w:rsidR="005A3641" w:rsidRPr="00F80391" w:rsidRDefault="00745F6F" w:rsidP="00D1065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F80391">
        <w:rPr>
          <w:rFonts w:ascii="Times New Roman" w:hAnsi="Times New Roman" w:cs="Times New Roman"/>
          <w:i/>
          <w:sz w:val="24"/>
          <w:szCs w:val="24"/>
          <w:lang w:val="bg-BG"/>
        </w:rPr>
        <w:lastRenderedPageBreak/>
        <w:t>Замърсяване на въздуха</w:t>
      </w:r>
    </w:p>
    <w:p w:rsidR="00012086" w:rsidRPr="00F80391" w:rsidRDefault="00745F6F" w:rsidP="00490ED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F80391">
        <w:rPr>
          <w:rFonts w:ascii="Times New Roman" w:hAnsi="Times New Roman" w:cs="Times New Roman"/>
          <w:i/>
          <w:sz w:val="24"/>
          <w:szCs w:val="24"/>
          <w:lang w:val="bg-BG"/>
        </w:rPr>
        <w:t>Изменение на климата</w:t>
      </w:r>
    </w:p>
    <w:p w:rsidR="005A3641" w:rsidRPr="00F80391" w:rsidRDefault="005A3641" w:rsidP="005A3641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F80391">
        <w:rPr>
          <w:rFonts w:ascii="Times New Roman" w:hAnsi="Times New Roman" w:cs="Times New Roman"/>
          <w:b/>
          <w:i/>
          <w:sz w:val="24"/>
          <w:szCs w:val="24"/>
          <w:lang w:val="bg-BG"/>
        </w:rPr>
        <w:t>Оценка на риска</w:t>
      </w:r>
    </w:p>
    <w:p w:rsidR="005A3641" w:rsidRPr="00F80391" w:rsidRDefault="00FC741E" w:rsidP="00490EDD">
      <w:pPr>
        <w:spacing w:after="0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F80391">
        <w:rPr>
          <w:rFonts w:ascii="Times New Roman" w:hAnsi="Times New Roman" w:cs="Times New Roman"/>
          <w:i/>
          <w:sz w:val="24"/>
          <w:szCs w:val="24"/>
          <w:lang w:val="bg-BG"/>
        </w:rPr>
        <w:t>Анализ на чувствителността</w:t>
      </w:r>
    </w:p>
    <w:p w:rsidR="00FC741E" w:rsidRPr="00F80391" w:rsidRDefault="00FC741E" w:rsidP="00490EDD">
      <w:pPr>
        <w:spacing w:after="0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F80391">
        <w:rPr>
          <w:rFonts w:ascii="Times New Roman" w:hAnsi="Times New Roman" w:cs="Times New Roman"/>
          <w:i/>
          <w:sz w:val="24"/>
          <w:szCs w:val="24"/>
          <w:lang w:val="bg-BG"/>
        </w:rPr>
        <w:t>Анализ на риска</w:t>
      </w:r>
    </w:p>
    <w:p w:rsidR="005A3641" w:rsidRPr="00F80391" w:rsidRDefault="005A3641" w:rsidP="005A3641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5A3641" w:rsidRPr="00F80391" w:rsidRDefault="005A3641" w:rsidP="005A3641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F80391" w:rsidRPr="00F80391" w:rsidRDefault="00F80391" w:rsidP="00F8039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0391">
        <w:rPr>
          <w:rFonts w:ascii="Times New Roman" w:hAnsi="Times New Roman" w:cs="Times New Roman"/>
          <w:sz w:val="24"/>
          <w:szCs w:val="24"/>
          <w:lang w:val="bg-BG"/>
        </w:rPr>
        <w:t xml:space="preserve">Всички необходими документи и информация за изпълнение на дейностите по процедурата ще бъдат предоставени на изпълнителя, като част от информацията може да бъде намерени на следните сайтове </w:t>
      </w:r>
      <w:hyperlink r:id="rId9" w:history="1">
        <w:r w:rsidRPr="00F80391">
          <w:rPr>
            <w:rStyle w:val="a6"/>
            <w:rFonts w:ascii="Times New Roman" w:hAnsi="Times New Roman" w:cs="Times New Roman"/>
            <w:sz w:val="24"/>
            <w:szCs w:val="24"/>
            <w:lang w:val="bg-BG"/>
          </w:rPr>
          <w:t>http://www.pleven.bg/общински-стратегии/стратегии.html</w:t>
        </w:r>
      </w:hyperlink>
      <w:r w:rsidRPr="00E67CD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  <w:r w:rsidRPr="00E67CD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hyperlink r:id="rId10" w:history="1">
        <w:r w:rsidRPr="00E67CD7">
          <w:rPr>
            <w:rStyle w:val="a6"/>
            <w:rFonts w:ascii="Times New Roman" w:hAnsi="Times New Roman" w:cs="Times New Roman"/>
            <w:sz w:val="24"/>
            <w:szCs w:val="24"/>
            <w:lang w:val="bg-BG"/>
          </w:rPr>
          <w:t>http://</w:t>
        </w:r>
        <w:r w:rsidRPr="00E67CD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igtpleven.eu</w:t>
        </w:r>
      </w:hyperlink>
      <w:r w:rsidRPr="00E67CD7">
        <w:rPr>
          <w:rStyle w:val="a6"/>
          <w:rFonts w:ascii="Times New Roman" w:hAnsi="Times New Roman" w:cs="Times New Roman"/>
          <w:sz w:val="24"/>
          <w:szCs w:val="24"/>
          <w:u w:val="none"/>
          <w:lang w:val="bg-BG"/>
        </w:rPr>
        <w:t xml:space="preserve"> </w:t>
      </w:r>
      <w:r>
        <w:rPr>
          <w:rStyle w:val="a6"/>
          <w:rFonts w:ascii="Times New Roman" w:hAnsi="Times New Roman" w:cs="Times New Roman"/>
          <w:sz w:val="24"/>
          <w:szCs w:val="24"/>
          <w:lang w:val="bg-BG"/>
        </w:rPr>
        <w:t xml:space="preserve">; </w:t>
      </w:r>
      <w:hyperlink r:id="rId11" w:history="1">
        <w:r w:rsidRPr="00112830">
          <w:rPr>
            <w:rStyle w:val="a6"/>
            <w:rFonts w:ascii="Times New Roman" w:hAnsi="Times New Roman" w:cs="Times New Roman"/>
            <w:sz w:val="24"/>
            <w:szCs w:val="24"/>
            <w:lang w:val="bg-BG"/>
          </w:rPr>
          <w:t>http://</w:t>
        </w:r>
        <w:r w:rsidRPr="0011283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ipgvrpleven.eu</w:t>
        </w:r>
      </w:hyperlink>
    </w:p>
    <w:p w:rsidR="005A3641" w:rsidRPr="005A3641" w:rsidRDefault="005A3641" w:rsidP="005A3641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sectPr w:rsidR="005A3641" w:rsidRPr="005A3641" w:rsidSect="004E4CF3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C1E" w:rsidRDefault="00147C1E" w:rsidP="00F80391">
      <w:pPr>
        <w:spacing w:after="0" w:line="240" w:lineRule="auto"/>
      </w:pPr>
      <w:r>
        <w:separator/>
      </w:r>
    </w:p>
  </w:endnote>
  <w:endnote w:type="continuationSeparator" w:id="0">
    <w:p w:rsidR="00147C1E" w:rsidRDefault="00147C1E" w:rsidP="00F80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C1E" w:rsidRDefault="00147C1E" w:rsidP="00F80391">
      <w:pPr>
        <w:spacing w:after="0" w:line="240" w:lineRule="auto"/>
      </w:pPr>
      <w:r>
        <w:separator/>
      </w:r>
    </w:p>
  </w:footnote>
  <w:footnote w:type="continuationSeparator" w:id="0">
    <w:p w:rsidR="00147C1E" w:rsidRDefault="00147C1E" w:rsidP="00F80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74D63"/>
    <w:multiLevelType w:val="hybridMultilevel"/>
    <w:tmpl w:val="F09AEF3A"/>
    <w:lvl w:ilvl="0" w:tplc="857C746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F28A6"/>
    <w:multiLevelType w:val="hybridMultilevel"/>
    <w:tmpl w:val="0F1606A0"/>
    <w:lvl w:ilvl="0" w:tplc="716A673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34098"/>
    <w:multiLevelType w:val="hybridMultilevel"/>
    <w:tmpl w:val="751EA31A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7F31298"/>
    <w:multiLevelType w:val="hybridMultilevel"/>
    <w:tmpl w:val="EAE026E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850D80"/>
    <w:multiLevelType w:val="hybridMultilevel"/>
    <w:tmpl w:val="4C0CCCD6"/>
    <w:lvl w:ilvl="0" w:tplc="456EF48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04210"/>
    <w:multiLevelType w:val="hybridMultilevel"/>
    <w:tmpl w:val="214CD9EC"/>
    <w:lvl w:ilvl="0" w:tplc="794AA8DE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05A8F"/>
    <w:multiLevelType w:val="hybridMultilevel"/>
    <w:tmpl w:val="41C0BC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44998"/>
    <w:multiLevelType w:val="hybridMultilevel"/>
    <w:tmpl w:val="3E6073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D2"/>
    <w:rsid w:val="00012086"/>
    <w:rsid w:val="00090738"/>
    <w:rsid w:val="000C559A"/>
    <w:rsid w:val="00116E07"/>
    <w:rsid w:val="001221CA"/>
    <w:rsid w:val="00147C1E"/>
    <w:rsid w:val="00156A2A"/>
    <w:rsid w:val="001D2AED"/>
    <w:rsid w:val="0020499C"/>
    <w:rsid w:val="002254D2"/>
    <w:rsid w:val="00230A8D"/>
    <w:rsid w:val="00267EF9"/>
    <w:rsid w:val="00293F39"/>
    <w:rsid w:val="002C5FA0"/>
    <w:rsid w:val="002E10D6"/>
    <w:rsid w:val="0032012C"/>
    <w:rsid w:val="00365F21"/>
    <w:rsid w:val="00380E5C"/>
    <w:rsid w:val="003B2CBA"/>
    <w:rsid w:val="003C16E1"/>
    <w:rsid w:val="003C2A4A"/>
    <w:rsid w:val="003D6E40"/>
    <w:rsid w:val="00417C7C"/>
    <w:rsid w:val="00436E83"/>
    <w:rsid w:val="00490EDD"/>
    <w:rsid w:val="004A4E29"/>
    <w:rsid w:val="004B4980"/>
    <w:rsid w:val="004E4CF3"/>
    <w:rsid w:val="005030D9"/>
    <w:rsid w:val="005748CA"/>
    <w:rsid w:val="0057690C"/>
    <w:rsid w:val="005A2C88"/>
    <w:rsid w:val="005A3641"/>
    <w:rsid w:val="005B12E1"/>
    <w:rsid w:val="005B4A06"/>
    <w:rsid w:val="005E74A0"/>
    <w:rsid w:val="00627973"/>
    <w:rsid w:val="00633C7B"/>
    <w:rsid w:val="00633F65"/>
    <w:rsid w:val="0063520C"/>
    <w:rsid w:val="00691400"/>
    <w:rsid w:val="006B042B"/>
    <w:rsid w:val="006C1A96"/>
    <w:rsid w:val="006C6644"/>
    <w:rsid w:val="006F22F3"/>
    <w:rsid w:val="00700BDF"/>
    <w:rsid w:val="007252A9"/>
    <w:rsid w:val="00745F6F"/>
    <w:rsid w:val="007728E2"/>
    <w:rsid w:val="007A3A53"/>
    <w:rsid w:val="007E32DF"/>
    <w:rsid w:val="00803B4D"/>
    <w:rsid w:val="0081101A"/>
    <w:rsid w:val="008927A7"/>
    <w:rsid w:val="008A2E6E"/>
    <w:rsid w:val="00924BC9"/>
    <w:rsid w:val="00926601"/>
    <w:rsid w:val="00930845"/>
    <w:rsid w:val="00955228"/>
    <w:rsid w:val="009608B5"/>
    <w:rsid w:val="009A1D40"/>
    <w:rsid w:val="009E5331"/>
    <w:rsid w:val="009F1700"/>
    <w:rsid w:val="00A05000"/>
    <w:rsid w:val="00A3717E"/>
    <w:rsid w:val="00A523EE"/>
    <w:rsid w:val="00A67D23"/>
    <w:rsid w:val="00AB691D"/>
    <w:rsid w:val="00AE6FF4"/>
    <w:rsid w:val="00AF4114"/>
    <w:rsid w:val="00B06185"/>
    <w:rsid w:val="00B33E40"/>
    <w:rsid w:val="00B72E20"/>
    <w:rsid w:val="00C02E10"/>
    <w:rsid w:val="00C30205"/>
    <w:rsid w:val="00C65370"/>
    <w:rsid w:val="00C87EA1"/>
    <w:rsid w:val="00CA1797"/>
    <w:rsid w:val="00CE42E4"/>
    <w:rsid w:val="00CF6098"/>
    <w:rsid w:val="00D1065B"/>
    <w:rsid w:val="00D14DE6"/>
    <w:rsid w:val="00D262A7"/>
    <w:rsid w:val="00E0189C"/>
    <w:rsid w:val="00E243B5"/>
    <w:rsid w:val="00E44D4B"/>
    <w:rsid w:val="00E6736B"/>
    <w:rsid w:val="00E67CD7"/>
    <w:rsid w:val="00ED7B28"/>
    <w:rsid w:val="00EE3344"/>
    <w:rsid w:val="00EE502F"/>
    <w:rsid w:val="00F02D2E"/>
    <w:rsid w:val="00F24087"/>
    <w:rsid w:val="00F80391"/>
    <w:rsid w:val="00F955D5"/>
    <w:rsid w:val="00FC07B0"/>
    <w:rsid w:val="00FC741E"/>
    <w:rsid w:val="00FD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B309D-EECB-41CE-8880-2BA7C24F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C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4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4B498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B691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67CD7"/>
    <w:rPr>
      <w:color w:val="800080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4A4E2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A4E29"/>
    <w:pPr>
      <w:spacing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4A4E2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A4E29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4A4E29"/>
    <w:rPr>
      <w:b/>
      <w:bCs/>
      <w:sz w:val="20"/>
      <w:szCs w:val="20"/>
    </w:rPr>
  </w:style>
  <w:style w:type="character" w:customStyle="1" w:styleId="shorttext">
    <w:name w:val="short_text"/>
    <w:basedOn w:val="a0"/>
    <w:rsid w:val="00926601"/>
  </w:style>
  <w:style w:type="paragraph" w:styleId="ad">
    <w:name w:val="header"/>
    <w:basedOn w:val="a"/>
    <w:link w:val="ae"/>
    <w:uiPriority w:val="99"/>
    <w:unhideWhenUsed/>
    <w:rsid w:val="00F80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Горен колонтитул Знак"/>
    <w:basedOn w:val="a0"/>
    <w:link w:val="ad"/>
    <w:uiPriority w:val="99"/>
    <w:rsid w:val="00F80391"/>
  </w:style>
  <w:style w:type="paragraph" w:styleId="af">
    <w:name w:val="footer"/>
    <w:basedOn w:val="a"/>
    <w:link w:val="af0"/>
    <w:uiPriority w:val="99"/>
    <w:unhideWhenUsed/>
    <w:rsid w:val="00F80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0">
    <w:name w:val="Долен колонтитул Знак"/>
    <w:basedOn w:val="a0"/>
    <w:link w:val="af"/>
    <w:uiPriority w:val="99"/>
    <w:rsid w:val="00F80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724046">
      <w:bodyDiv w:val="1"/>
      <w:marLeft w:val="0"/>
      <w:marRight w:val="0"/>
      <w:marTop w:val="30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284">
                  <w:marLeft w:val="0"/>
                  <w:marRight w:val="0"/>
                  <w:marTop w:val="75"/>
                  <w:marBottom w:val="0"/>
                  <w:divBdr>
                    <w:top w:val="single" w:sz="6" w:space="7" w:color="BAB9B9"/>
                    <w:left w:val="single" w:sz="6" w:space="7" w:color="BAB9B9"/>
                    <w:bottom w:val="single" w:sz="6" w:space="7" w:color="BAB9B9"/>
                    <w:right w:val="single" w:sz="6" w:space="7" w:color="BAB9B9"/>
                  </w:divBdr>
                  <w:divsChild>
                    <w:div w:id="18611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1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14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regional_policy/sources/docgener/studies/pdf/cba_guide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pgvrpleven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gtpleven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even.bg/&#1086;&#1073;&#1097;&#1080;&#1085;&#1089;&#1082;&#1080;-&#1089;&#1090;&#1088;&#1072;&#1090;&#1077;&#1075;&#1080;&#1080;/&#1089;&#1090;&#1088;&#1072;&#1090;&#1077;&#1075;&#1080;&#1080;.htm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ACF7E-BEDA-4D82-BB9E-BEF426614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2434</Words>
  <Characters>13876</Characters>
  <DocSecurity>0</DocSecurity>
  <Lines>115</Lines>
  <Paragraphs>32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2016-03-22T10:19:00Z</cp:lastPrinted>
  <dcterms:created xsi:type="dcterms:W3CDTF">2016-04-14T09:48:00Z</dcterms:created>
  <dcterms:modified xsi:type="dcterms:W3CDTF">2016-04-14T09:48:00Z</dcterms:modified>
</cp:coreProperties>
</file>